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057" w:rsidRPr="00746205" w:rsidRDefault="008A3111" w:rsidP="002B6CD1">
      <w:pPr>
        <w:spacing w:after="600"/>
        <w:jc w:val="center"/>
        <w:rPr>
          <w:szCs w:val="22"/>
        </w:rPr>
      </w:pPr>
      <w:r>
        <w:rPr>
          <w:noProof/>
        </w:rPr>
        <w:drawing>
          <wp:inline distT="0" distB="0" distL="0" distR="0">
            <wp:extent cx="1727835" cy="1141095"/>
            <wp:effectExtent l="19050" t="0" r="5715"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27835" cy="1141095"/>
                    </a:xfrm>
                    <a:prstGeom prst="rect">
                      <a:avLst/>
                    </a:prstGeom>
                    <a:noFill/>
                    <a:ln w="9525">
                      <a:noFill/>
                      <a:miter lim="800000"/>
                      <a:headEnd/>
                      <a:tailEnd/>
                    </a:ln>
                  </pic:spPr>
                </pic:pic>
              </a:graphicData>
            </a:graphic>
          </wp:inline>
        </w:drawing>
      </w:r>
    </w:p>
    <w:p w:rsidR="000C7057" w:rsidRPr="00FA6433" w:rsidRDefault="00FA4D3E" w:rsidP="00CB219D">
      <w:pPr>
        <w:spacing w:after="0"/>
        <w:jc w:val="center"/>
        <w:rPr>
          <w:b/>
          <w:caps/>
          <w:sz w:val="28"/>
          <w:szCs w:val="28"/>
        </w:rPr>
      </w:pPr>
      <w:r w:rsidRPr="00FA6433">
        <w:rPr>
          <w:b/>
          <w:caps/>
          <w:sz w:val="28"/>
          <w:szCs w:val="28"/>
        </w:rPr>
        <w:t>Technical Evaluation</w:t>
      </w:r>
    </w:p>
    <w:p w:rsidR="00EC0345" w:rsidRPr="00FA6433" w:rsidRDefault="00FA4D3E" w:rsidP="00CB219D">
      <w:pPr>
        <w:spacing w:after="0"/>
        <w:jc w:val="center"/>
        <w:rPr>
          <w:b/>
          <w:caps/>
          <w:sz w:val="28"/>
          <w:szCs w:val="28"/>
        </w:rPr>
      </w:pPr>
      <w:r w:rsidRPr="00FA6433">
        <w:rPr>
          <w:b/>
          <w:caps/>
          <w:sz w:val="28"/>
          <w:szCs w:val="28"/>
        </w:rPr>
        <w:t>&amp;</w:t>
      </w:r>
    </w:p>
    <w:p w:rsidR="000C7057" w:rsidRPr="00FA6433" w:rsidRDefault="00FA4D3E" w:rsidP="002B6CD1">
      <w:pPr>
        <w:spacing w:after="720"/>
        <w:jc w:val="center"/>
        <w:rPr>
          <w:b/>
          <w:caps/>
          <w:sz w:val="28"/>
          <w:szCs w:val="28"/>
        </w:rPr>
      </w:pPr>
      <w:r w:rsidRPr="00FA6433">
        <w:rPr>
          <w:b/>
          <w:caps/>
          <w:sz w:val="28"/>
          <w:szCs w:val="28"/>
        </w:rPr>
        <w:t>Preliminary Determination</w:t>
      </w:r>
    </w:p>
    <w:p w:rsidR="000C7057" w:rsidRPr="00FA6433" w:rsidRDefault="000C7057" w:rsidP="00FA6433">
      <w:pPr>
        <w:jc w:val="center"/>
        <w:rPr>
          <w:b/>
          <w:bCs/>
          <w:szCs w:val="22"/>
        </w:rPr>
      </w:pPr>
      <w:r w:rsidRPr="00FA6433">
        <w:rPr>
          <w:b/>
          <w:bCs/>
          <w:szCs w:val="22"/>
        </w:rPr>
        <w:t>APPLICANT</w:t>
      </w:r>
    </w:p>
    <w:p w:rsidR="00CB5913" w:rsidRPr="00B72F48" w:rsidRDefault="00CB5913" w:rsidP="00CB219D">
      <w:pPr>
        <w:spacing w:after="0"/>
        <w:jc w:val="center"/>
        <w:rPr>
          <w:color w:val="000000"/>
          <w:szCs w:val="22"/>
        </w:rPr>
      </w:pPr>
      <w:r>
        <w:rPr>
          <w:szCs w:val="22"/>
        </w:rPr>
        <w:t>INEOS New Planet BioEnergy</w:t>
      </w:r>
    </w:p>
    <w:p w:rsidR="00632483" w:rsidRPr="00A21062" w:rsidRDefault="00632483" w:rsidP="00632483">
      <w:pPr>
        <w:spacing w:after="0"/>
        <w:jc w:val="center"/>
        <w:rPr>
          <w:szCs w:val="22"/>
        </w:rPr>
      </w:pPr>
      <w:r>
        <w:rPr>
          <w:szCs w:val="22"/>
        </w:rPr>
        <w:t xml:space="preserve">Indian River County </w:t>
      </w:r>
      <w:proofErr w:type="spellStart"/>
      <w:r>
        <w:rPr>
          <w:szCs w:val="22"/>
        </w:rPr>
        <w:t>BioEnergy</w:t>
      </w:r>
      <w:proofErr w:type="spellEnd"/>
      <w:r w:rsidRPr="00A21062">
        <w:rPr>
          <w:szCs w:val="22"/>
        </w:rPr>
        <w:t xml:space="preserve"> Facility</w:t>
      </w:r>
    </w:p>
    <w:p w:rsidR="00632483" w:rsidRDefault="00632483" w:rsidP="00CB219D">
      <w:pPr>
        <w:spacing w:after="0"/>
        <w:jc w:val="center"/>
        <w:rPr>
          <w:szCs w:val="22"/>
        </w:rPr>
      </w:pPr>
      <w:r w:rsidRPr="00AE7FEB">
        <w:rPr>
          <w:szCs w:val="22"/>
        </w:rPr>
        <w:t>925 74</w:t>
      </w:r>
      <w:r w:rsidRPr="00632483">
        <w:rPr>
          <w:szCs w:val="22"/>
        </w:rPr>
        <w:t>th</w:t>
      </w:r>
      <w:r w:rsidRPr="00AE7FEB">
        <w:rPr>
          <w:szCs w:val="22"/>
        </w:rPr>
        <w:t xml:space="preserve"> Avenue</w:t>
      </w:r>
    </w:p>
    <w:p w:rsidR="00CB5913" w:rsidRDefault="00632483" w:rsidP="00CB219D">
      <w:pPr>
        <w:spacing w:after="0"/>
        <w:jc w:val="center"/>
        <w:rPr>
          <w:szCs w:val="22"/>
        </w:rPr>
      </w:pPr>
      <w:r w:rsidRPr="00AE7FEB">
        <w:rPr>
          <w:szCs w:val="22"/>
        </w:rPr>
        <w:t xml:space="preserve">Vero Beach, Florida </w:t>
      </w:r>
      <w:r w:rsidRPr="00632483">
        <w:rPr>
          <w:szCs w:val="22"/>
        </w:rPr>
        <w:t>32968-9702</w:t>
      </w:r>
    </w:p>
    <w:p w:rsidR="000C7057" w:rsidRPr="00A21062" w:rsidRDefault="000C7057" w:rsidP="002B6CD1">
      <w:pPr>
        <w:spacing w:after="720"/>
        <w:jc w:val="center"/>
        <w:rPr>
          <w:szCs w:val="22"/>
        </w:rPr>
      </w:pPr>
      <w:r w:rsidRPr="00A21062">
        <w:rPr>
          <w:szCs w:val="22"/>
        </w:rPr>
        <w:t xml:space="preserve">ARMS Facility ID No. </w:t>
      </w:r>
      <w:r w:rsidR="00CB5913">
        <w:rPr>
          <w:szCs w:val="22"/>
        </w:rPr>
        <w:t>0610096</w:t>
      </w:r>
    </w:p>
    <w:p w:rsidR="000C7057" w:rsidRPr="00FA6433" w:rsidRDefault="000C7057" w:rsidP="00FA6433">
      <w:pPr>
        <w:jc w:val="center"/>
        <w:rPr>
          <w:b/>
          <w:bCs/>
          <w:szCs w:val="22"/>
        </w:rPr>
      </w:pPr>
      <w:r w:rsidRPr="00FA6433">
        <w:rPr>
          <w:b/>
          <w:bCs/>
          <w:szCs w:val="22"/>
        </w:rPr>
        <w:t>PROJECT</w:t>
      </w:r>
    </w:p>
    <w:p w:rsidR="000C7057" w:rsidRPr="00A21062" w:rsidRDefault="000C7057" w:rsidP="00CB219D">
      <w:pPr>
        <w:spacing w:after="0"/>
        <w:jc w:val="center"/>
        <w:rPr>
          <w:szCs w:val="22"/>
        </w:rPr>
      </w:pPr>
      <w:r w:rsidRPr="00A21062">
        <w:rPr>
          <w:szCs w:val="22"/>
        </w:rPr>
        <w:t xml:space="preserve">Draft Permit No. </w:t>
      </w:r>
      <w:r w:rsidR="00CB5913">
        <w:rPr>
          <w:szCs w:val="22"/>
        </w:rPr>
        <w:t>0610096</w:t>
      </w:r>
      <w:r w:rsidR="00E45949">
        <w:rPr>
          <w:szCs w:val="22"/>
        </w:rPr>
        <w:t>-00</w:t>
      </w:r>
      <w:r w:rsidR="001E66F0">
        <w:rPr>
          <w:szCs w:val="22"/>
        </w:rPr>
        <w:t>3</w:t>
      </w:r>
      <w:r w:rsidR="001004E9" w:rsidRPr="00A21062">
        <w:rPr>
          <w:szCs w:val="22"/>
        </w:rPr>
        <w:t>-AC</w:t>
      </w:r>
    </w:p>
    <w:p w:rsidR="000C7057" w:rsidRPr="00A21062" w:rsidRDefault="00CB5913" w:rsidP="002B6CD1">
      <w:pPr>
        <w:spacing w:after="720"/>
        <w:jc w:val="center"/>
        <w:rPr>
          <w:szCs w:val="22"/>
        </w:rPr>
      </w:pPr>
      <w:r>
        <w:rPr>
          <w:szCs w:val="22"/>
        </w:rPr>
        <w:t>Biomass to Ethanol</w:t>
      </w:r>
      <w:r w:rsidR="001004E9" w:rsidRPr="00A21062">
        <w:rPr>
          <w:szCs w:val="22"/>
        </w:rPr>
        <w:t xml:space="preserve"> Production</w:t>
      </w:r>
    </w:p>
    <w:p w:rsidR="000C7057" w:rsidRPr="00FA6433" w:rsidRDefault="000C7057" w:rsidP="00FA6433">
      <w:pPr>
        <w:jc w:val="center"/>
        <w:rPr>
          <w:b/>
          <w:bCs/>
          <w:szCs w:val="22"/>
        </w:rPr>
      </w:pPr>
      <w:r w:rsidRPr="00FA6433">
        <w:rPr>
          <w:b/>
          <w:bCs/>
          <w:szCs w:val="22"/>
        </w:rPr>
        <w:t>COUNTY</w:t>
      </w:r>
    </w:p>
    <w:p w:rsidR="000C7057" w:rsidRPr="00A21062" w:rsidRDefault="00CB5913" w:rsidP="002B6CD1">
      <w:pPr>
        <w:spacing w:after="720"/>
        <w:jc w:val="center"/>
        <w:rPr>
          <w:szCs w:val="22"/>
        </w:rPr>
      </w:pPr>
      <w:r>
        <w:rPr>
          <w:szCs w:val="22"/>
        </w:rPr>
        <w:t>Indian River</w:t>
      </w:r>
      <w:r w:rsidR="000C7057" w:rsidRPr="00A21062">
        <w:rPr>
          <w:szCs w:val="22"/>
        </w:rPr>
        <w:t xml:space="preserve"> County, Florida</w:t>
      </w:r>
    </w:p>
    <w:p w:rsidR="000C7057" w:rsidRPr="00FA6433" w:rsidRDefault="000C7057" w:rsidP="00FA6433">
      <w:pPr>
        <w:jc w:val="center"/>
        <w:rPr>
          <w:b/>
          <w:szCs w:val="22"/>
        </w:rPr>
      </w:pPr>
      <w:r w:rsidRPr="00FA6433">
        <w:rPr>
          <w:b/>
          <w:szCs w:val="22"/>
        </w:rPr>
        <w:t>PERMITTING AUTHORITY</w:t>
      </w:r>
    </w:p>
    <w:p w:rsidR="000C7057" w:rsidRPr="00A21062" w:rsidRDefault="000C7057" w:rsidP="00CB219D">
      <w:pPr>
        <w:spacing w:after="0"/>
        <w:jc w:val="center"/>
        <w:rPr>
          <w:szCs w:val="22"/>
        </w:rPr>
      </w:pPr>
      <w:r w:rsidRPr="00A21062">
        <w:rPr>
          <w:szCs w:val="22"/>
        </w:rPr>
        <w:t>Florida Department of Environmental Protection</w:t>
      </w:r>
    </w:p>
    <w:p w:rsidR="000C7057" w:rsidRDefault="000C7057" w:rsidP="00CB219D">
      <w:pPr>
        <w:spacing w:after="0"/>
        <w:jc w:val="center"/>
        <w:rPr>
          <w:szCs w:val="22"/>
        </w:rPr>
      </w:pPr>
      <w:r w:rsidRPr="00A21062">
        <w:rPr>
          <w:szCs w:val="22"/>
        </w:rPr>
        <w:t>Division of Air Resource Management</w:t>
      </w:r>
    </w:p>
    <w:p w:rsidR="001E66F0" w:rsidRPr="00A21062" w:rsidRDefault="001E66F0" w:rsidP="00CB219D">
      <w:pPr>
        <w:spacing w:after="0"/>
        <w:jc w:val="center"/>
        <w:rPr>
          <w:szCs w:val="22"/>
        </w:rPr>
      </w:pPr>
      <w:r>
        <w:rPr>
          <w:szCs w:val="22"/>
        </w:rPr>
        <w:t>Office of Permitting and Compliance</w:t>
      </w:r>
    </w:p>
    <w:p w:rsidR="000C7057" w:rsidRPr="00A21062" w:rsidRDefault="000C7057" w:rsidP="00CB219D">
      <w:pPr>
        <w:spacing w:after="0"/>
        <w:jc w:val="center"/>
        <w:rPr>
          <w:szCs w:val="22"/>
        </w:rPr>
      </w:pPr>
      <w:r w:rsidRPr="00A21062">
        <w:rPr>
          <w:szCs w:val="22"/>
        </w:rPr>
        <w:t>2600 Blair Stone Road, MS</w:t>
      </w:r>
      <w:r w:rsidR="004F1B5A">
        <w:rPr>
          <w:szCs w:val="22"/>
        </w:rPr>
        <w:t>#5500</w:t>
      </w:r>
    </w:p>
    <w:p w:rsidR="000C7057" w:rsidRPr="00A21062" w:rsidRDefault="000C7057" w:rsidP="002B6CD1">
      <w:pPr>
        <w:spacing w:after="960"/>
        <w:jc w:val="center"/>
        <w:rPr>
          <w:szCs w:val="22"/>
        </w:rPr>
      </w:pPr>
      <w:r w:rsidRPr="00A21062">
        <w:rPr>
          <w:szCs w:val="22"/>
        </w:rPr>
        <w:t>Tallahassee, Florida  32399-2400</w:t>
      </w:r>
    </w:p>
    <w:p w:rsidR="000C7057" w:rsidRPr="00A21062" w:rsidRDefault="00341991" w:rsidP="00CB219D">
      <w:pPr>
        <w:spacing w:after="0"/>
        <w:jc w:val="center"/>
        <w:rPr>
          <w:szCs w:val="22"/>
        </w:rPr>
      </w:pPr>
      <w:r w:rsidRPr="003C7B2F">
        <w:rPr>
          <w:szCs w:val="22"/>
        </w:rPr>
        <w:t xml:space="preserve">July </w:t>
      </w:r>
      <w:r w:rsidR="003C7B2F" w:rsidRPr="003C7B2F">
        <w:rPr>
          <w:szCs w:val="22"/>
        </w:rPr>
        <w:t>1</w:t>
      </w:r>
      <w:r w:rsidR="005C1A14">
        <w:rPr>
          <w:szCs w:val="22"/>
        </w:rPr>
        <w:t>2</w:t>
      </w:r>
      <w:r w:rsidR="00E45949" w:rsidRPr="003C7B2F">
        <w:rPr>
          <w:szCs w:val="22"/>
        </w:rPr>
        <w:t>, 201</w:t>
      </w:r>
      <w:r w:rsidR="002B6CD1" w:rsidRPr="003C7B2F">
        <w:rPr>
          <w:szCs w:val="22"/>
        </w:rPr>
        <w:t>2</w:t>
      </w:r>
    </w:p>
    <w:p w:rsidR="001E15C3" w:rsidRPr="00110D91" w:rsidRDefault="002D02F5" w:rsidP="0005302D">
      <w:pPr>
        <w:pStyle w:val="ListParagraph"/>
        <w:widowControl w:val="0"/>
        <w:numPr>
          <w:ilvl w:val="0"/>
          <w:numId w:val="3"/>
        </w:numPr>
        <w:ind w:left="720" w:hanging="720"/>
        <w:contextualSpacing w:val="0"/>
        <w:rPr>
          <w:b/>
          <w:szCs w:val="22"/>
        </w:rPr>
      </w:pPr>
      <w:r w:rsidRPr="00110D91">
        <w:rPr>
          <w:b/>
          <w:szCs w:val="22"/>
        </w:rPr>
        <w:br w:type="page"/>
      </w:r>
      <w:r w:rsidR="003E37A9" w:rsidRPr="00110D91">
        <w:rPr>
          <w:b/>
          <w:szCs w:val="22"/>
        </w:rPr>
        <w:lastRenderedPageBreak/>
        <w:t>GENERAL PROJECT INFORMATION</w:t>
      </w:r>
      <w:bookmarkStart w:id="0" w:name="AppInfo"/>
      <w:bookmarkEnd w:id="0"/>
    </w:p>
    <w:p w:rsidR="003E37A9" w:rsidRPr="00514FC7" w:rsidRDefault="003E37A9" w:rsidP="0005302D">
      <w:pPr>
        <w:pStyle w:val="ListParagraph"/>
        <w:widowControl w:val="0"/>
        <w:numPr>
          <w:ilvl w:val="1"/>
          <w:numId w:val="3"/>
        </w:numPr>
        <w:ind w:left="720" w:hanging="720"/>
        <w:rPr>
          <w:b/>
          <w:szCs w:val="22"/>
        </w:rPr>
      </w:pPr>
      <w:r w:rsidRPr="00514FC7">
        <w:rPr>
          <w:b/>
          <w:szCs w:val="22"/>
        </w:rPr>
        <w:t>Facility Description and Location</w:t>
      </w:r>
    </w:p>
    <w:p w:rsidR="0020362E" w:rsidRDefault="00514FC7" w:rsidP="003A58DD">
      <w:pPr>
        <w:rPr>
          <w:szCs w:val="22"/>
        </w:rPr>
      </w:pPr>
      <w:r>
        <w:rPr>
          <w:szCs w:val="22"/>
        </w:rPr>
        <w:t>INEOS is a large petrochemical and specialty chemical manufacturer headquartered in the United Kingdom.  It consists of 17 businesses with 64 manufacturing facilities in 14 countries, and with annual sales of around $47 billion, it is the third largest chemical company in the world.</w:t>
      </w:r>
      <w:r w:rsidR="0020362E">
        <w:rPr>
          <w:rStyle w:val="FootnoteReference"/>
          <w:szCs w:val="22"/>
        </w:rPr>
        <w:footnoteReference w:id="1"/>
      </w:r>
      <w:r w:rsidR="0020362E">
        <w:rPr>
          <w:szCs w:val="22"/>
        </w:rPr>
        <w:t xml:space="preserve">  INEOS New Planet BioEnergy, LLC (INPB) is constructing a facility in Indian River County (IRC) to produce ethanol from a biomass feedstock consisting of mostly vegetative yard waste, clean woody construction and demolition (C&amp;D) debris and municipal solid waste (MSW).  </w:t>
      </w:r>
      <w:r w:rsidR="0020362E" w:rsidRPr="00A21062">
        <w:rPr>
          <w:szCs w:val="22"/>
        </w:rPr>
        <w:t xml:space="preserve">The </w:t>
      </w:r>
      <w:r w:rsidR="0020362E">
        <w:rPr>
          <w:szCs w:val="22"/>
        </w:rPr>
        <w:t>INPB IRC facility</w:t>
      </w:r>
      <w:r w:rsidR="0020362E" w:rsidRPr="00A21062">
        <w:rPr>
          <w:szCs w:val="22"/>
        </w:rPr>
        <w:t xml:space="preserve"> </w:t>
      </w:r>
      <w:r w:rsidR="0020362E">
        <w:rPr>
          <w:szCs w:val="22"/>
        </w:rPr>
        <w:t>is</w:t>
      </w:r>
      <w:r w:rsidR="0020362E" w:rsidRPr="00A21062">
        <w:rPr>
          <w:szCs w:val="22"/>
        </w:rPr>
        <w:t xml:space="preserve"> </w:t>
      </w:r>
      <w:r w:rsidR="0020362E">
        <w:rPr>
          <w:szCs w:val="22"/>
        </w:rPr>
        <w:t>located near Vero Beach, Florida, at the former location of an Ocean Spray citrus processing facility at the intersection of 74</w:t>
      </w:r>
      <w:r w:rsidR="0020362E" w:rsidRPr="0020362E">
        <w:rPr>
          <w:szCs w:val="22"/>
          <w:vertAlign w:val="superscript"/>
        </w:rPr>
        <w:t>th</w:t>
      </w:r>
      <w:r w:rsidR="0020362E">
        <w:rPr>
          <w:szCs w:val="22"/>
        </w:rPr>
        <w:t xml:space="preserve"> Avenue and Oslo Road near Interstate 95.  The UTM coordinates are Zone 17,</w:t>
      </w:r>
      <w:r w:rsidR="0020362E" w:rsidRPr="003A58DD">
        <w:rPr>
          <w:szCs w:val="22"/>
        </w:rPr>
        <w:t xml:space="preserve"> </w:t>
      </w:r>
      <w:r w:rsidR="0020362E">
        <w:rPr>
          <w:szCs w:val="22"/>
        </w:rPr>
        <w:t>550.7</w:t>
      </w:r>
      <w:r w:rsidR="0020362E" w:rsidRPr="003A58DD">
        <w:rPr>
          <w:szCs w:val="22"/>
        </w:rPr>
        <w:t xml:space="preserve"> </w:t>
      </w:r>
      <w:r w:rsidR="00A8355A">
        <w:rPr>
          <w:szCs w:val="22"/>
        </w:rPr>
        <w:t>kilometers (</w:t>
      </w:r>
      <w:r w:rsidR="0020362E" w:rsidRPr="003A58DD">
        <w:rPr>
          <w:szCs w:val="22"/>
        </w:rPr>
        <w:t>km</w:t>
      </w:r>
      <w:r w:rsidR="00A8355A">
        <w:rPr>
          <w:szCs w:val="22"/>
        </w:rPr>
        <w:t>)</w:t>
      </w:r>
      <w:r w:rsidR="0020362E" w:rsidRPr="003A58DD">
        <w:rPr>
          <w:szCs w:val="22"/>
        </w:rPr>
        <w:t xml:space="preserve"> East and 3,</w:t>
      </w:r>
      <w:r w:rsidR="0020362E">
        <w:rPr>
          <w:szCs w:val="22"/>
        </w:rPr>
        <w:t>051.3</w:t>
      </w:r>
      <w:r w:rsidR="0020362E" w:rsidRPr="003A58DD">
        <w:rPr>
          <w:szCs w:val="22"/>
        </w:rPr>
        <w:t xml:space="preserve"> km North.</w:t>
      </w:r>
      <w:r w:rsidR="0020362E">
        <w:rPr>
          <w:szCs w:val="22"/>
        </w:rPr>
        <w:t xml:space="preserve">  The location of Indian River County in Florida is shown in Figure 1, while an aerial view of the site is shown in Figure 2.</w:t>
      </w:r>
    </w:p>
    <w:p w:rsidR="0020362E" w:rsidRDefault="0041503C" w:rsidP="00D50BCB">
      <w:pPr>
        <w:spacing w:after="240"/>
        <w:rPr>
          <w:b/>
          <w:szCs w:val="22"/>
        </w:rPr>
      </w:pPr>
      <w:r>
        <w:rPr>
          <w:b/>
          <w:noProof/>
          <w:szCs w:val="22"/>
        </w:rPr>
        <w:pict>
          <v:shapetype id="_x0000_t32" coordsize="21600,21600" o:spt="32" o:oned="t" path="m,l21600,21600e" filled="f">
            <v:path arrowok="t" fillok="f" o:connecttype="none"/>
            <o:lock v:ext="edit" shapetype="t"/>
          </v:shapetype>
          <v:shape id="_x0000_s3996" type="#_x0000_t32" style="position:absolute;margin-left:317.9pt;margin-top:121.9pt;width:49.9pt;height:8.15pt;flip:y;z-index:251703296" o:connectortype="straight" strokecolor="red">
            <v:stroke endarrow="block"/>
          </v:shape>
        </w:pict>
      </w:r>
      <w:r>
        <w:rPr>
          <w:b/>
          <w:noProof/>
          <w:szCs w:val="22"/>
          <w:lang w:eastAsia="zh-TW"/>
        </w:rPr>
        <w:pict>
          <v:shapetype id="_x0000_t202" coordsize="21600,21600" o:spt="202" path="m,l,21600r21600,l21600,xe">
            <v:stroke joinstyle="miter"/>
            <v:path gradientshapeok="t" o:connecttype="rect"/>
          </v:shapetype>
          <v:shape id="_x0000_s3995" type="#_x0000_t202" style="position:absolute;margin-left:285.35pt;margin-top:118.65pt;width:43.95pt;height:27pt;z-index:251702272;mso-height-percent:200;mso-height-percent:200;mso-width-relative:margin;mso-height-relative:margin" filled="f" stroked="f">
            <v:textbox style="mso-fit-shape-to-text:t">
              <w:txbxContent>
                <w:p w:rsidR="005C1A14" w:rsidRPr="00400CE5" w:rsidRDefault="005C1A14">
                  <w:pPr>
                    <w:rPr>
                      <w:b/>
                      <w:color w:val="FF0000"/>
                      <w:sz w:val="24"/>
                      <w:szCs w:val="24"/>
                    </w:rPr>
                  </w:pPr>
                  <w:r w:rsidRPr="00400CE5">
                    <w:rPr>
                      <w:b/>
                      <w:color w:val="FF0000"/>
                      <w:sz w:val="24"/>
                      <w:szCs w:val="24"/>
                    </w:rPr>
                    <w:t>Site</w:t>
                  </w:r>
                </w:p>
              </w:txbxContent>
            </v:textbox>
          </v:shape>
        </w:pict>
      </w:r>
      <w:r>
        <w:rPr>
          <w:b/>
          <w:noProof/>
          <w:szCs w:val="22"/>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3994" type="#_x0000_t12" style="position:absolute;margin-left:367.8pt;margin-top:115.05pt;width:15.3pt;height:15pt;z-index:251701248" fillcolor="red" strokecolor="red"/>
        </w:pict>
      </w:r>
      <w:r>
        <w:rPr>
          <w:b/>
          <w:noProof/>
          <w:szCs w:val="22"/>
        </w:rPr>
        <w:pict>
          <v:shape id="_x0000_s3993" type="#_x0000_t32" style="position:absolute;margin-left:123.15pt;margin-top:121.9pt;width:84.7pt;height:23.75pt;flip:y;z-index:251700224" o:connectortype="straight">
            <v:stroke endarrow="block"/>
          </v:shape>
        </w:pict>
      </w:r>
      <w:r>
        <w:rPr>
          <w:b/>
          <w:noProof/>
          <w:szCs w:val="22"/>
          <w:lang w:eastAsia="zh-TW"/>
        </w:rPr>
        <w:pict>
          <v:shape id="_x0000_s3992" type="#_x0000_t202" style="position:absolute;margin-left:57.25pt;margin-top:130.05pt;width:83.35pt;height:38.5pt;z-index:251699200;mso-height-percent:200;mso-height-percent:200;mso-width-relative:margin;mso-height-relative:margin" filled="f" stroked="f">
            <v:textbox style="mso-fit-shape-to-text:t">
              <w:txbxContent>
                <w:p w:rsidR="005C1A14" w:rsidRPr="00D50BCB" w:rsidRDefault="005C1A14">
                  <w:pPr>
                    <w:rPr>
                      <w:b/>
                      <w:color w:val="FF0000"/>
                    </w:rPr>
                  </w:pPr>
                  <w:r w:rsidRPr="00D50BCB">
                    <w:rPr>
                      <w:b/>
                      <w:color w:val="FF0000"/>
                    </w:rPr>
                    <w:t>Indian River</w:t>
                  </w:r>
                  <w:r w:rsidRPr="00D50BCB">
                    <w:rPr>
                      <w:b/>
                      <w:color w:val="FF0000"/>
                    </w:rPr>
                    <w:br/>
                    <w:t>County</w:t>
                  </w:r>
                </w:p>
              </w:txbxContent>
            </v:textbox>
          </v:shape>
        </w:pict>
      </w:r>
      <w:r w:rsidR="0020362E">
        <w:rPr>
          <w:b/>
          <w:noProof/>
          <w:szCs w:val="22"/>
        </w:rPr>
        <w:drawing>
          <wp:inline distT="0" distB="0" distL="0" distR="0">
            <wp:extent cx="2956212" cy="2946374"/>
            <wp:effectExtent l="19050" t="0" r="0" b="0"/>
            <wp:docPr id="2" name="Picture 4" descr="Indian River Coun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an River County.png"/>
                    <pic:cNvPicPr/>
                  </pic:nvPicPr>
                  <pic:blipFill>
                    <a:blip r:embed="rId9" cstate="print"/>
                    <a:stretch>
                      <a:fillRect/>
                    </a:stretch>
                  </pic:blipFill>
                  <pic:spPr>
                    <a:xfrm>
                      <a:off x="0" y="0"/>
                      <a:ext cx="2958153" cy="2948308"/>
                    </a:xfrm>
                    <a:prstGeom prst="rect">
                      <a:avLst/>
                    </a:prstGeom>
                  </pic:spPr>
                </pic:pic>
              </a:graphicData>
            </a:graphic>
          </wp:inline>
        </w:drawing>
      </w:r>
      <w:r w:rsidR="0020362E" w:rsidRPr="00400CE5">
        <w:rPr>
          <w:b/>
          <w:noProof/>
          <w:szCs w:val="22"/>
        </w:rPr>
        <w:drawing>
          <wp:inline distT="0" distB="0" distL="0" distR="0">
            <wp:extent cx="2915002" cy="2406768"/>
            <wp:effectExtent l="19050" t="0" r="0" b="0"/>
            <wp:docPr id="4" name="Picture 6" descr="INE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EOS.jpg"/>
                    <pic:cNvPicPr/>
                  </pic:nvPicPr>
                  <pic:blipFill>
                    <a:blip r:embed="rId10" cstate="print"/>
                    <a:srcRect b="7730"/>
                    <a:stretch>
                      <a:fillRect/>
                    </a:stretch>
                  </pic:blipFill>
                  <pic:spPr>
                    <a:xfrm>
                      <a:off x="0" y="0"/>
                      <a:ext cx="2918965" cy="2410040"/>
                    </a:xfrm>
                    <a:prstGeom prst="rect">
                      <a:avLst/>
                    </a:prstGeom>
                  </pic:spPr>
                </pic:pic>
              </a:graphicData>
            </a:graphic>
          </wp:inline>
        </w:drawing>
      </w:r>
    </w:p>
    <w:p w:rsidR="0020362E" w:rsidRPr="006D0BCD" w:rsidRDefault="0020362E" w:rsidP="00400CE5">
      <w:pPr>
        <w:tabs>
          <w:tab w:val="left" w:pos="4770"/>
        </w:tabs>
        <w:spacing w:before="120"/>
        <w:jc w:val="center"/>
        <w:rPr>
          <w:b/>
          <w:szCs w:val="22"/>
        </w:rPr>
      </w:pPr>
      <w:r w:rsidRPr="006D0BCD">
        <w:rPr>
          <w:b/>
          <w:szCs w:val="22"/>
        </w:rPr>
        <w:t xml:space="preserve">Figure 1 - </w:t>
      </w:r>
      <w:r>
        <w:rPr>
          <w:b/>
          <w:szCs w:val="22"/>
        </w:rPr>
        <w:t xml:space="preserve">Indian River County, Florida.  </w:t>
      </w:r>
      <w:r>
        <w:rPr>
          <w:b/>
          <w:szCs w:val="22"/>
        </w:rPr>
        <w:tab/>
        <w:t>Figure 2</w:t>
      </w:r>
      <w:r w:rsidRPr="00400CE5">
        <w:rPr>
          <w:b/>
          <w:szCs w:val="22"/>
        </w:rPr>
        <w:t xml:space="preserve"> </w:t>
      </w:r>
      <w:r>
        <w:rPr>
          <w:b/>
          <w:szCs w:val="22"/>
        </w:rPr>
        <w:t>–</w:t>
      </w:r>
      <w:r w:rsidRPr="00400CE5">
        <w:rPr>
          <w:b/>
          <w:szCs w:val="22"/>
        </w:rPr>
        <w:t xml:space="preserve"> </w:t>
      </w:r>
      <w:r>
        <w:rPr>
          <w:b/>
          <w:szCs w:val="22"/>
        </w:rPr>
        <w:t xml:space="preserve">Aerial View of </w:t>
      </w:r>
      <w:r w:rsidR="00A8355A">
        <w:rPr>
          <w:b/>
          <w:szCs w:val="22"/>
        </w:rPr>
        <w:t>INPB</w:t>
      </w:r>
      <w:r>
        <w:rPr>
          <w:b/>
          <w:szCs w:val="22"/>
        </w:rPr>
        <w:t xml:space="preserve"> Site.</w:t>
      </w:r>
    </w:p>
    <w:p w:rsidR="0020362E" w:rsidRDefault="00897D29" w:rsidP="0084370F">
      <w:pPr>
        <w:outlineLvl w:val="0"/>
        <w:rPr>
          <w:szCs w:val="22"/>
        </w:rPr>
      </w:pPr>
      <w:r>
        <w:rPr>
          <w:szCs w:val="22"/>
        </w:rPr>
        <w:t xml:space="preserve">Construction of the </w:t>
      </w:r>
      <w:r w:rsidR="0020362E" w:rsidRPr="00A21062">
        <w:rPr>
          <w:szCs w:val="22"/>
        </w:rPr>
        <w:t>facility</w:t>
      </w:r>
      <w:r>
        <w:rPr>
          <w:szCs w:val="22"/>
        </w:rPr>
        <w:t xml:space="preserve"> has commenced and once completed the facility</w:t>
      </w:r>
      <w:r w:rsidR="0020362E" w:rsidRPr="00A21062">
        <w:rPr>
          <w:szCs w:val="22"/>
        </w:rPr>
        <w:t xml:space="preserve"> </w:t>
      </w:r>
      <w:r w:rsidR="0020362E">
        <w:rPr>
          <w:szCs w:val="22"/>
        </w:rPr>
        <w:t>is expected to produce up to 8 million gallons per year (MG</w:t>
      </w:r>
      <w:r w:rsidR="00A8355A">
        <w:rPr>
          <w:szCs w:val="22"/>
        </w:rPr>
        <w:t>P</w:t>
      </w:r>
      <w:r w:rsidR="0020362E">
        <w:rPr>
          <w:szCs w:val="22"/>
        </w:rPr>
        <w:t>Y)</w:t>
      </w:r>
      <w:r w:rsidR="0020362E" w:rsidRPr="009D6531">
        <w:rPr>
          <w:szCs w:val="22"/>
        </w:rPr>
        <w:t xml:space="preserve"> </w:t>
      </w:r>
      <w:r w:rsidR="0020362E">
        <w:rPr>
          <w:szCs w:val="22"/>
        </w:rPr>
        <w:t xml:space="preserve">of ethanol. The facility will also generate approximately 2 megawatts (MW) of electricity that will be available for </w:t>
      </w:r>
      <w:r w:rsidR="00A8355A">
        <w:rPr>
          <w:szCs w:val="22"/>
        </w:rPr>
        <w:t>sale to the grid</w:t>
      </w:r>
      <w:r w:rsidR="0020362E">
        <w:rPr>
          <w:szCs w:val="22"/>
        </w:rPr>
        <w:t xml:space="preserve">.  The facility is categorized under </w:t>
      </w:r>
      <w:r w:rsidR="0020362E" w:rsidRPr="00A21062">
        <w:rPr>
          <w:bCs/>
          <w:szCs w:val="22"/>
        </w:rPr>
        <w:t>Standard Industrial Cla</w:t>
      </w:r>
      <w:r w:rsidR="0020362E">
        <w:rPr>
          <w:bCs/>
          <w:szCs w:val="22"/>
        </w:rPr>
        <w:t xml:space="preserve">ssification (SIC) Code No. 2869—Industrial Organic </w:t>
      </w:r>
      <w:r w:rsidR="0020362E" w:rsidRPr="00A21062">
        <w:rPr>
          <w:bCs/>
          <w:szCs w:val="22"/>
        </w:rPr>
        <w:t>Chemicals</w:t>
      </w:r>
      <w:r w:rsidR="0020362E">
        <w:rPr>
          <w:bCs/>
          <w:szCs w:val="22"/>
        </w:rPr>
        <w:t xml:space="preserve">, Not Elsewhere Classified.  The </w:t>
      </w:r>
      <w:r w:rsidR="0020362E" w:rsidRPr="00663861">
        <w:rPr>
          <w:bCs/>
          <w:szCs w:val="22"/>
        </w:rPr>
        <w:t>Florida Department of Environmental Protection (</w:t>
      </w:r>
      <w:r w:rsidR="0020362E">
        <w:rPr>
          <w:bCs/>
          <w:szCs w:val="22"/>
        </w:rPr>
        <w:t>Department</w:t>
      </w:r>
      <w:r w:rsidR="0020362E" w:rsidRPr="00663861">
        <w:rPr>
          <w:bCs/>
          <w:szCs w:val="22"/>
        </w:rPr>
        <w:t>)</w:t>
      </w:r>
      <w:r w:rsidR="0020362E">
        <w:rPr>
          <w:bCs/>
          <w:szCs w:val="22"/>
        </w:rPr>
        <w:t xml:space="preserve"> previously authorized construction of the facility pursuant to air construction Permit No.0610096-001-AC with a subsequent modification to the original permit accomplished in air construction Permit No. 0610096-002-AC.  </w:t>
      </w:r>
      <w:r w:rsidR="0020362E">
        <w:rPr>
          <w:szCs w:val="22"/>
        </w:rPr>
        <w:t>E</w:t>
      </w:r>
      <w:r w:rsidR="0020362E" w:rsidRPr="00FB0AE7">
        <w:rPr>
          <w:szCs w:val="22"/>
        </w:rPr>
        <w:t xml:space="preserve">lectronic copies of </w:t>
      </w:r>
      <w:r w:rsidR="0020362E">
        <w:rPr>
          <w:szCs w:val="22"/>
        </w:rPr>
        <w:t xml:space="preserve">all previous air permit applications and issued permits packages </w:t>
      </w:r>
      <w:r w:rsidR="0020362E" w:rsidRPr="00FB0AE7">
        <w:rPr>
          <w:szCs w:val="22"/>
        </w:rPr>
        <w:t xml:space="preserve">are available </w:t>
      </w:r>
      <w:r w:rsidR="0020362E">
        <w:rPr>
          <w:szCs w:val="22"/>
        </w:rPr>
        <w:t xml:space="preserve">at </w:t>
      </w:r>
      <w:r w:rsidR="0020362E" w:rsidRPr="00FB0AE7">
        <w:rPr>
          <w:szCs w:val="22"/>
        </w:rPr>
        <w:t xml:space="preserve">the following web </w:t>
      </w:r>
      <w:r w:rsidR="0020362E">
        <w:rPr>
          <w:szCs w:val="22"/>
        </w:rPr>
        <w:t>link</w:t>
      </w:r>
      <w:r w:rsidR="00A8355A" w:rsidRPr="00FB0AE7">
        <w:rPr>
          <w:szCs w:val="22"/>
        </w:rPr>
        <w:t xml:space="preserve">: </w:t>
      </w:r>
      <w:r w:rsidR="0020362E">
        <w:rPr>
          <w:szCs w:val="22"/>
        </w:rPr>
        <w:br/>
      </w:r>
      <w:hyperlink r:id="rId11" w:history="1">
        <w:r w:rsidR="0020362E" w:rsidRPr="00FD6880">
          <w:rPr>
            <w:rStyle w:val="Hyperlink"/>
            <w:szCs w:val="22"/>
          </w:rPr>
          <w:t>http://www.dep.state.fl.us/air/emission/bioenergy/indian_river.htm</w:t>
        </w:r>
      </w:hyperlink>
    </w:p>
    <w:p w:rsidR="0020362E" w:rsidRPr="00110D91" w:rsidRDefault="0020362E" w:rsidP="0005302D">
      <w:pPr>
        <w:pStyle w:val="ListParagraph"/>
        <w:widowControl w:val="0"/>
        <w:numPr>
          <w:ilvl w:val="1"/>
          <w:numId w:val="3"/>
        </w:numPr>
        <w:ind w:left="720" w:hanging="720"/>
        <w:rPr>
          <w:b/>
          <w:szCs w:val="22"/>
        </w:rPr>
      </w:pPr>
      <w:r w:rsidRPr="00FA4D3E">
        <w:rPr>
          <w:b/>
          <w:bCs/>
          <w:szCs w:val="22"/>
        </w:rPr>
        <w:t>Process Description</w:t>
      </w:r>
    </w:p>
    <w:p w:rsidR="0020362E" w:rsidRDefault="0020362E" w:rsidP="00CB219D">
      <w:pPr>
        <w:rPr>
          <w:szCs w:val="22"/>
        </w:rPr>
      </w:pPr>
      <w:r>
        <w:rPr>
          <w:szCs w:val="22"/>
        </w:rPr>
        <w:t xml:space="preserve">The primary feedstock for the facility will be vegetative yard waste and land clearing debris collected by the </w:t>
      </w:r>
      <w:r w:rsidR="00A8355A">
        <w:rPr>
          <w:szCs w:val="22"/>
        </w:rPr>
        <w:t>Indian River County (</w:t>
      </w:r>
      <w:r>
        <w:rPr>
          <w:szCs w:val="22"/>
        </w:rPr>
        <w:t>IRC</w:t>
      </w:r>
      <w:r w:rsidR="00A8355A">
        <w:rPr>
          <w:szCs w:val="22"/>
        </w:rPr>
        <w:t>)</w:t>
      </w:r>
      <w:r>
        <w:rPr>
          <w:szCs w:val="22"/>
        </w:rPr>
        <w:t xml:space="preserve"> </w:t>
      </w:r>
      <w:r w:rsidRPr="006D0BCD">
        <w:rPr>
          <w:szCs w:val="22"/>
        </w:rPr>
        <w:t xml:space="preserve">Solid Waste Disposal District (SWDD) </w:t>
      </w:r>
      <w:r>
        <w:rPr>
          <w:szCs w:val="22"/>
        </w:rPr>
        <w:t>curbside collection program</w:t>
      </w:r>
      <w:r w:rsidRPr="00DB56BE">
        <w:rPr>
          <w:szCs w:val="22"/>
        </w:rPr>
        <w:t>, delivered to the county's collection centers, or delivered directly to the facility by the public</w:t>
      </w:r>
      <w:r>
        <w:rPr>
          <w:szCs w:val="22"/>
        </w:rPr>
        <w:t xml:space="preserve">.  On an </w:t>
      </w:r>
      <w:r>
        <w:rPr>
          <w:szCs w:val="22"/>
        </w:rPr>
        <w:lastRenderedPageBreak/>
        <w:t>annual average, yard waste will make up approximately 90 percent</w:t>
      </w:r>
      <w:r w:rsidR="00A8355A">
        <w:rPr>
          <w:szCs w:val="22"/>
        </w:rPr>
        <w:t xml:space="preserve"> (%)</w:t>
      </w:r>
      <w:r>
        <w:rPr>
          <w:szCs w:val="22"/>
        </w:rPr>
        <w:t xml:space="preserve"> of the feedstock.  The remainder of the biomass feedstock </w:t>
      </w:r>
      <w:r w:rsidR="00A8355A">
        <w:rPr>
          <w:szCs w:val="22"/>
        </w:rPr>
        <w:t>will</w:t>
      </w:r>
      <w:r>
        <w:rPr>
          <w:szCs w:val="22"/>
        </w:rPr>
        <w:t xml:space="preserve"> consist of clean woody C&amp;D debris and MSW.</w:t>
      </w:r>
    </w:p>
    <w:p w:rsidR="0020362E" w:rsidRDefault="0020362E" w:rsidP="00CB219D">
      <w:pPr>
        <w:rPr>
          <w:szCs w:val="22"/>
        </w:rPr>
      </w:pPr>
      <w:r>
        <w:rPr>
          <w:szCs w:val="22"/>
        </w:rPr>
        <w:t xml:space="preserve">The </w:t>
      </w:r>
      <w:r w:rsidR="00AE2C90">
        <w:rPr>
          <w:szCs w:val="22"/>
        </w:rPr>
        <w:t>INPB</w:t>
      </w:r>
      <w:r>
        <w:rPr>
          <w:szCs w:val="22"/>
        </w:rPr>
        <w:t xml:space="preserve"> bio ethanol technology process will gasify the biomass feedstock.  The organic material will not be directly combusted; instead, oxygen will be supplied to the gasifier which converts the feed material into a synthetic gas (syngas) consisting of carbon monoxide (CO), carbon dioxide (CO</w:t>
      </w:r>
      <w:r w:rsidRPr="009F20D6">
        <w:rPr>
          <w:szCs w:val="22"/>
          <w:vertAlign w:val="subscript"/>
        </w:rPr>
        <w:t>2</w:t>
      </w:r>
      <w:r>
        <w:rPr>
          <w:szCs w:val="22"/>
        </w:rPr>
        <w:t>), hydrogen (H</w:t>
      </w:r>
      <w:r w:rsidRPr="009F20D6">
        <w:rPr>
          <w:szCs w:val="22"/>
          <w:vertAlign w:val="subscript"/>
        </w:rPr>
        <w:t>2</w:t>
      </w:r>
      <w:r>
        <w:rPr>
          <w:szCs w:val="22"/>
        </w:rPr>
        <w:t>) and other hydrocarbons.</w:t>
      </w:r>
    </w:p>
    <w:p w:rsidR="0020362E" w:rsidRDefault="0020362E" w:rsidP="00CB219D">
      <w:pPr>
        <w:rPr>
          <w:szCs w:val="22"/>
        </w:rPr>
      </w:pPr>
      <w:r>
        <w:rPr>
          <w:szCs w:val="22"/>
        </w:rPr>
        <w:t>This syngas will not be directly combusted.  It will be cleaned and cooled and then fed into a fermentation system where proprietary bacterial metabolic action converts the syngas into ethanol.  The ethanol will then be distilled, dehydrated, denatured, stored and loaded into dedicated ethanol tanker trucks</w:t>
      </w:r>
      <w:r w:rsidR="00AE2C90">
        <w:rPr>
          <w:szCs w:val="22"/>
        </w:rPr>
        <w:t xml:space="preserve"> for shipment offsite</w:t>
      </w:r>
      <w:r>
        <w:rPr>
          <w:szCs w:val="22"/>
        </w:rPr>
        <w:t xml:space="preserve">.  Off gases from the fermentation process will be routed to a </w:t>
      </w:r>
      <w:r w:rsidRPr="009D6531">
        <w:rPr>
          <w:szCs w:val="22"/>
        </w:rPr>
        <w:t xml:space="preserve">fermentation vent gas boiler </w:t>
      </w:r>
      <w:r>
        <w:rPr>
          <w:szCs w:val="22"/>
        </w:rPr>
        <w:t>for combustion.  Steam from the fermentation vent gas boiler as well as steam from waste heat recovery at the gasifiers will be routed to a steam turbine electrical generator (STEG) to generate electricity.  Vent gas boiler emissions will be controlled through sorbent injection and fabric filtration.</w:t>
      </w:r>
    </w:p>
    <w:p w:rsidR="0020362E" w:rsidRPr="00FA4D3E" w:rsidRDefault="0020362E" w:rsidP="0005302D">
      <w:pPr>
        <w:pStyle w:val="ListParagraph"/>
        <w:widowControl w:val="0"/>
        <w:numPr>
          <w:ilvl w:val="1"/>
          <w:numId w:val="3"/>
        </w:numPr>
        <w:ind w:left="720" w:hanging="720"/>
        <w:rPr>
          <w:b/>
          <w:bCs/>
          <w:szCs w:val="22"/>
        </w:rPr>
      </w:pPr>
      <w:r w:rsidRPr="00FA4D3E">
        <w:rPr>
          <w:b/>
          <w:bCs/>
          <w:szCs w:val="22"/>
        </w:rPr>
        <w:t>Primary Regulatory Categories</w:t>
      </w:r>
    </w:p>
    <w:p w:rsidR="0020362E" w:rsidRDefault="0020362E" w:rsidP="0005302D">
      <w:pPr>
        <w:numPr>
          <w:ilvl w:val="0"/>
          <w:numId w:val="4"/>
        </w:numPr>
        <w:spacing w:after="60"/>
        <w:ind w:left="360"/>
      </w:pPr>
      <w:r w:rsidRPr="008C4BB8">
        <w:t xml:space="preserve">The facility is </w:t>
      </w:r>
      <w:r w:rsidR="00897D29" w:rsidRPr="00897D29">
        <w:rPr>
          <w:b/>
          <w:u w:val="single"/>
        </w:rPr>
        <w:t>not</w:t>
      </w:r>
      <w:r w:rsidRPr="008C4BB8">
        <w:t xml:space="preserve"> major source of hazardous air pollutants (HAP)</w:t>
      </w:r>
      <w:r>
        <w:t>.</w:t>
      </w:r>
    </w:p>
    <w:p w:rsidR="0020362E" w:rsidRDefault="0020362E" w:rsidP="0005302D">
      <w:pPr>
        <w:numPr>
          <w:ilvl w:val="0"/>
          <w:numId w:val="4"/>
        </w:numPr>
        <w:spacing w:after="60"/>
        <w:ind w:left="360"/>
      </w:pPr>
      <w:r w:rsidRPr="008C4BB8">
        <w:t xml:space="preserve">The facility </w:t>
      </w:r>
      <w:r>
        <w:t xml:space="preserve">does </w:t>
      </w:r>
      <w:r w:rsidRPr="008C4BB8">
        <w:rPr>
          <w:b/>
          <w:u w:val="single"/>
        </w:rPr>
        <w:t>not</w:t>
      </w:r>
      <w:r>
        <w:t xml:space="preserve"> </w:t>
      </w:r>
      <w:r w:rsidRPr="008C4BB8">
        <w:t>operate units subject to the acid rain provisions of the Clean Air Act.</w:t>
      </w:r>
    </w:p>
    <w:p w:rsidR="0020362E" w:rsidRPr="00007E37" w:rsidRDefault="0020362E" w:rsidP="0005302D">
      <w:pPr>
        <w:numPr>
          <w:ilvl w:val="0"/>
          <w:numId w:val="4"/>
        </w:numPr>
        <w:spacing w:after="60"/>
        <w:ind w:left="360"/>
      </w:pPr>
      <w:r w:rsidRPr="00007E37">
        <w:t xml:space="preserve">The facility is a Title V major source of air pollution in accordance with Chapter 62-213, </w:t>
      </w:r>
      <w:r w:rsidR="008F3AE2" w:rsidRPr="00007E37">
        <w:t>Florida Administrative Code (F.A.C.)</w:t>
      </w:r>
      <w:r w:rsidR="001B24DC" w:rsidRPr="00007E37">
        <w:t xml:space="preserve"> because </w:t>
      </w:r>
      <w:r w:rsidR="00007E37" w:rsidRPr="00007E37">
        <w:rPr>
          <w:szCs w:val="22"/>
        </w:rPr>
        <w:t xml:space="preserve">Section 129(e) of the Clean Air Act requires Title V permits for all sources subject to </w:t>
      </w:r>
      <w:r w:rsidR="00007E37">
        <w:rPr>
          <w:szCs w:val="22"/>
        </w:rPr>
        <w:t xml:space="preserve">an </w:t>
      </w:r>
      <w:r w:rsidR="00007E37" w:rsidRPr="00007E37">
        <w:rPr>
          <w:szCs w:val="22"/>
        </w:rPr>
        <w:t xml:space="preserve">NSPS </w:t>
      </w:r>
      <w:r w:rsidR="00007E37">
        <w:rPr>
          <w:szCs w:val="22"/>
        </w:rPr>
        <w:t xml:space="preserve">Subpart </w:t>
      </w:r>
      <w:r w:rsidR="00007E37" w:rsidRPr="00007E37">
        <w:rPr>
          <w:szCs w:val="22"/>
        </w:rPr>
        <w:t>for solid waste combustion</w:t>
      </w:r>
      <w:r w:rsidR="00007E37">
        <w:rPr>
          <w:szCs w:val="22"/>
        </w:rPr>
        <w:t xml:space="preserve">, </w:t>
      </w:r>
      <w:r w:rsidR="00007E37" w:rsidRPr="00007E37">
        <w:rPr>
          <w:szCs w:val="22"/>
        </w:rPr>
        <w:t xml:space="preserve">which includes </w:t>
      </w:r>
      <w:r w:rsidR="00007E37">
        <w:rPr>
          <w:szCs w:val="22"/>
        </w:rPr>
        <w:t>NSPS S</w:t>
      </w:r>
      <w:r w:rsidR="00007E37" w:rsidRPr="00007E37">
        <w:rPr>
          <w:szCs w:val="22"/>
        </w:rPr>
        <w:t>ubpart AAAA.</w:t>
      </w:r>
    </w:p>
    <w:p w:rsidR="0020362E" w:rsidRDefault="0020362E" w:rsidP="0005302D">
      <w:pPr>
        <w:numPr>
          <w:ilvl w:val="0"/>
          <w:numId w:val="4"/>
        </w:numPr>
        <w:spacing w:after="60"/>
        <w:ind w:left="360"/>
      </w:pPr>
      <w:r w:rsidRPr="008C4BB8">
        <w:t xml:space="preserve">The facility is </w:t>
      </w:r>
      <w:r w:rsidRPr="009D6531">
        <w:rPr>
          <w:b/>
          <w:u w:val="single"/>
        </w:rPr>
        <w:t>not</w:t>
      </w:r>
      <w:r>
        <w:t xml:space="preserve"> </w:t>
      </w:r>
      <w:r w:rsidRPr="008C4BB8">
        <w:t>a major stationary source in accordance with Rule 62-212.400, F.A.C. for the Prevention of Significant Deterioration (PSD) of Air Quality.</w:t>
      </w:r>
    </w:p>
    <w:p w:rsidR="0020362E" w:rsidRDefault="0020362E" w:rsidP="0005302D">
      <w:pPr>
        <w:numPr>
          <w:ilvl w:val="0"/>
          <w:numId w:val="4"/>
        </w:numPr>
        <w:ind w:left="360"/>
      </w:pPr>
      <w:r w:rsidRPr="008C4BB8">
        <w:t xml:space="preserve">The facility operates units </w:t>
      </w:r>
      <w:r>
        <w:t xml:space="preserve">that are </w:t>
      </w:r>
      <w:r w:rsidRPr="008C4BB8">
        <w:t>subject to the New Source Performance Standards</w:t>
      </w:r>
      <w:r>
        <w:t xml:space="preserve"> (NSPS)</w:t>
      </w:r>
      <w:r w:rsidRPr="008C4BB8">
        <w:t xml:space="preserve"> </w:t>
      </w:r>
      <w:r>
        <w:t>at 40 Code of Federal Regulations, Part 60 (40 CFR 60)</w:t>
      </w:r>
      <w:r w:rsidRPr="008C4BB8">
        <w:t xml:space="preserve">, </w:t>
      </w:r>
      <w:r w:rsidRPr="005716C0">
        <w:t xml:space="preserve">and the National Emissions Standards for Hazardous Air Pollutants (NESHAP) </w:t>
      </w:r>
      <w:r>
        <w:t>at 40 CFR 63</w:t>
      </w:r>
      <w:r w:rsidRPr="008C4BB8">
        <w:t>.</w:t>
      </w:r>
    </w:p>
    <w:p w:rsidR="0020362E" w:rsidRPr="00FA4D3E" w:rsidRDefault="0020362E" w:rsidP="0005302D">
      <w:pPr>
        <w:pStyle w:val="ListParagraph"/>
        <w:widowControl w:val="0"/>
        <w:numPr>
          <w:ilvl w:val="1"/>
          <w:numId w:val="3"/>
        </w:numPr>
        <w:ind w:left="720" w:hanging="720"/>
        <w:rPr>
          <w:b/>
          <w:bCs/>
          <w:szCs w:val="22"/>
        </w:rPr>
      </w:pPr>
      <w:r w:rsidRPr="00FA4D3E">
        <w:rPr>
          <w:b/>
          <w:bCs/>
          <w:szCs w:val="22"/>
        </w:rPr>
        <w:t>Project Description</w:t>
      </w:r>
    </w:p>
    <w:p w:rsidR="0020362E" w:rsidRDefault="0020362E" w:rsidP="00CB219D">
      <w:pPr>
        <w:rPr>
          <w:szCs w:val="22"/>
        </w:rPr>
      </w:pPr>
      <w:r>
        <w:rPr>
          <w:szCs w:val="22"/>
        </w:rPr>
        <w:t>On August 25, 2010, the Department issued a minor source air construction permit (</w:t>
      </w:r>
      <w:r w:rsidRPr="00A4137E">
        <w:rPr>
          <w:bCs/>
          <w:szCs w:val="22"/>
        </w:rPr>
        <w:t>Permit No. 0610096-00</w:t>
      </w:r>
      <w:r>
        <w:rPr>
          <w:bCs/>
          <w:szCs w:val="22"/>
        </w:rPr>
        <w:t>1</w:t>
      </w:r>
      <w:r w:rsidRPr="00A4137E">
        <w:rPr>
          <w:bCs/>
          <w:szCs w:val="22"/>
        </w:rPr>
        <w:t>-AC</w:t>
      </w:r>
      <w:r>
        <w:rPr>
          <w:bCs/>
          <w:szCs w:val="22"/>
        </w:rPr>
        <w:t>)</w:t>
      </w:r>
      <w:r>
        <w:rPr>
          <w:szCs w:val="22"/>
        </w:rPr>
        <w:t xml:space="preserve"> to INPB</w:t>
      </w:r>
      <w:r w:rsidRPr="00A21062">
        <w:rPr>
          <w:szCs w:val="22"/>
        </w:rPr>
        <w:t xml:space="preserve"> </w:t>
      </w:r>
      <w:r>
        <w:rPr>
          <w:szCs w:val="22"/>
        </w:rPr>
        <w:t>to build the IRC facility to convert waste biomass to ethanol.  The construction permit established various federally enforceable limitations on the facility's potential to emit certain pollutants</w:t>
      </w:r>
      <w:r w:rsidRPr="00A21062">
        <w:rPr>
          <w:szCs w:val="22"/>
        </w:rPr>
        <w:t>.</w:t>
      </w:r>
      <w:r>
        <w:rPr>
          <w:szCs w:val="22"/>
        </w:rPr>
        <w:t xml:space="preserve">  The permit's emissions limitations ensure that the facility emits air pollutants at annual rates less than the emissions thresholds for the prevention of significant deterioration (PSD) pre-construction permitting program.</w:t>
      </w:r>
      <w:r w:rsidRPr="00A21062">
        <w:rPr>
          <w:szCs w:val="22"/>
        </w:rPr>
        <w:t xml:space="preserve">  </w:t>
      </w:r>
      <w:r>
        <w:rPr>
          <w:szCs w:val="22"/>
        </w:rPr>
        <w:t>Without the limitations in place, the facility would have been subject to the PSD program.</w:t>
      </w:r>
    </w:p>
    <w:p w:rsidR="0020362E" w:rsidRDefault="00897D29" w:rsidP="005C0403">
      <w:pPr>
        <w:spacing w:before="120" w:after="60"/>
        <w:rPr>
          <w:szCs w:val="22"/>
        </w:rPr>
      </w:pPr>
      <w:r>
        <w:rPr>
          <w:szCs w:val="22"/>
        </w:rPr>
        <w:t>Once c</w:t>
      </w:r>
      <w:r w:rsidR="0020362E">
        <w:rPr>
          <w:szCs w:val="22"/>
        </w:rPr>
        <w:t>onstruction has commenced on the INPB IRC facility</w:t>
      </w:r>
      <w:r>
        <w:rPr>
          <w:szCs w:val="22"/>
        </w:rPr>
        <w:t>,</w:t>
      </w:r>
      <w:r w:rsidR="0020362E">
        <w:rPr>
          <w:szCs w:val="22"/>
        </w:rPr>
        <w:t xml:space="preserve"> </w:t>
      </w:r>
      <w:r>
        <w:rPr>
          <w:szCs w:val="22"/>
        </w:rPr>
        <w:t>the Department issued a minor source air construction permit modification (</w:t>
      </w:r>
      <w:r w:rsidRPr="00A4137E">
        <w:rPr>
          <w:bCs/>
          <w:szCs w:val="22"/>
        </w:rPr>
        <w:t>Permit No. 0610096-002-AC</w:t>
      </w:r>
      <w:r>
        <w:rPr>
          <w:bCs/>
          <w:szCs w:val="22"/>
        </w:rPr>
        <w:t>) o</w:t>
      </w:r>
      <w:r w:rsidR="0020362E">
        <w:rPr>
          <w:szCs w:val="22"/>
        </w:rPr>
        <w:t>n September 6,</w:t>
      </w:r>
      <w:r>
        <w:rPr>
          <w:szCs w:val="22"/>
        </w:rPr>
        <w:t xml:space="preserve"> 2011</w:t>
      </w:r>
      <w:r w:rsidR="0020362E">
        <w:rPr>
          <w:szCs w:val="22"/>
        </w:rPr>
        <w:t>.  This permit modification consisted of the following major actions:</w:t>
      </w:r>
    </w:p>
    <w:p w:rsidR="0020362E" w:rsidRPr="00A60C63" w:rsidRDefault="0020362E" w:rsidP="0005302D">
      <w:pPr>
        <w:numPr>
          <w:ilvl w:val="0"/>
          <w:numId w:val="1"/>
        </w:numPr>
        <w:spacing w:after="60"/>
        <w:rPr>
          <w:szCs w:val="22"/>
        </w:rPr>
      </w:pPr>
      <w:r w:rsidRPr="00A60C63">
        <w:rPr>
          <w:szCs w:val="22"/>
        </w:rPr>
        <w:t xml:space="preserve">Modified </w:t>
      </w:r>
      <w:r>
        <w:rPr>
          <w:szCs w:val="22"/>
        </w:rPr>
        <w:t xml:space="preserve">the </w:t>
      </w:r>
      <w:r w:rsidRPr="00A60C63">
        <w:rPr>
          <w:szCs w:val="22"/>
        </w:rPr>
        <w:t>materials handling area to reflect four smaller diesel engi</w:t>
      </w:r>
      <w:r>
        <w:rPr>
          <w:szCs w:val="22"/>
        </w:rPr>
        <w:t>nes instead of one large engine;</w:t>
      </w:r>
    </w:p>
    <w:p w:rsidR="0020362E" w:rsidRPr="00A60C63" w:rsidRDefault="0020362E" w:rsidP="0005302D">
      <w:pPr>
        <w:numPr>
          <w:ilvl w:val="0"/>
          <w:numId w:val="1"/>
        </w:numPr>
        <w:spacing w:after="60"/>
        <w:rPr>
          <w:szCs w:val="22"/>
        </w:rPr>
      </w:pPr>
      <w:r w:rsidRPr="00A60C63">
        <w:rPr>
          <w:szCs w:val="22"/>
        </w:rPr>
        <w:t xml:space="preserve">Updated </w:t>
      </w:r>
      <w:r>
        <w:rPr>
          <w:szCs w:val="22"/>
        </w:rPr>
        <w:t xml:space="preserve">the </w:t>
      </w:r>
      <w:r w:rsidRPr="00A60C63">
        <w:rPr>
          <w:szCs w:val="22"/>
        </w:rPr>
        <w:t>fermentation and distillation system requirements to reflect two scrubbers instead of a single sc</w:t>
      </w:r>
      <w:r>
        <w:rPr>
          <w:szCs w:val="22"/>
        </w:rPr>
        <w:t>rubber and desulfurization unit;</w:t>
      </w:r>
    </w:p>
    <w:p w:rsidR="0020362E" w:rsidRPr="00A60C63" w:rsidRDefault="0020362E" w:rsidP="0005302D">
      <w:pPr>
        <w:numPr>
          <w:ilvl w:val="0"/>
          <w:numId w:val="1"/>
        </w:numPr>
        <w:spacing w:after="60"/>
        <w:rPr>
          <w:szCs w:val="22"/>
        </w:rPr>
      </w:pPr>
      <w:r w:rsidRPr="00A60C63">
        <w:rPr>
          <w:szCs w:val="22"/>
        </w:rPr>
        <w:t xml:space="preserve">Altered the MSW trial period so that instead of requiring a follow-on permit application to authorize routine processing of MSW, </w:t>
      </w:r>
      <w:r>
        <w:rPr>
          <w:szCs w:val="22"/>
        </w:rPr>
        <w:t>the</w:t>
      </w:r>
      <w:r w:rsidRPr="00A60C63">
        <w:rPr>
          <w:szCs w:val="22"/>
        </w:rPr>
        <w:t xml:space="preserve"> permit will grant authority to process MSW on a routine basis</w:t>
      </w:r>
      <w:r>
        <w:rPr>
          <w:szCs w:val="22"/>
        </w:rPr>
        <w:t xml:space="preserve"> </w:t>
      </w:r>
      <w:r w:rsidRPr="00A60C63">
        <w:rPr>
          <w:szCs w:val="22"/>
        </w:rPr>
        <w:t>at feed rates for which c</w:t>
      </w:r>
      <w:r>
        <w:rPr>
          <w:szCs w:val="22"/>
        </w:rPr>
        <w:t>ompliance has been demonstrated;</w:t>
      </w:r>
    </w:p>
    <w:p w:rsidR="0020362E" w:rsidRPr="00A60C63" w:rsidRDefault="0020362E" w:rsidP="0005302D">
      <w:pPr>
        <w:numPr>
          <w:ilvl w:val="0"/>
          <w:numId w:val="1"/>
        </w:numPr>
        <w:spacing w:after="60"/>
        <w:rPr>
          <w:szCs w:val="22"/>
        </w:rPr>
      </w:pPr>
      <w:r w:rsidRPr="00A60C63">
        <w:rPr>
          <w:szCs w:val="22"/>
        </w:rPr>
        <w:t xml:space="preserve">Authorized </w:t>
      </w:r>
      <w:r>
        <w:rPr>
          <w:szCs w:val="22"/>
        </w:rPr>
        <w:t xml:space="preserve">the </w:t>
      </w:r>
      <w:r w:rsidRPr="00A60C63">
        <w:rPr>
          <w:szCs w:val="22"/>
        </w:rPr>
        <w:t>installation of a larger vent gas boiler and required installation of post-combustion controls (sorbent injecti</w:t>
      </w:r>
      <w:r>
        <w:rPr>
          <w:szCs w:val="22"/>
        </w:rPr>
        <w:t>on followed by a fabric filter);</w:t>
      </w:r>
    </w:p>
    <w:p w:rsidR="0020362E" w:rsidRDefault="0020362E" w:rsidP="0005302D">
      <w:pPr>
        <w:numPr>
          <w:ilvl w:val="0"/>
          <w:numId w:val="1"/>
        </w:numPr>
        <w:spacing w:after="60"/>
        <w:rPr>
          <w:szCs w:val="22"/>
        </w:rPr>
      </w:pPr>
      <w:r w:rsidRPr="00A60C63">
        <w:rPr>
          <w:szCs w:val="22"/>
        </w:rPr>
        <w:t>Increased the authorized capacity (gallons) of the produ</w:t>
      </w:r>
      <w:r>
        <w:rPr>
          <w:szCs w:val="22"/>
        </w:rPr>
        <w:t>ct and denaturant storage tanks; and,</w:t>
      </w:r>
    </w:p>
    <w:p w:rsidR="0020362E" w:rsidRPr="00A60C63" w:rsidRDefault="0020362E" w:rsidP="0005302D">
      <w:pPr>
        <w:numPr>
          <w:ilvl w:val="0"/>
          <w:numId w:val="1"/>
        </w:numPr>
        <w:rPr>
          <w:szCs w:val="22"/>
        </w:rPr>
      </w:pPr>
      <w:r>
        <w:rPr>
          <w:szCs w:val="22"/>
        </w:rPr>
        <w:t>Eliminated the desulfurization unit and its associated oxidation tank, and replaced two flares (gasifier flare and syngas flare) with a single, larger flaring system (syngas flare).</w:t>
      </w:r>
    </w:p>
    <w:p w:rsidR="0020362E" w:rsidRPr="00A4137E" w:rsidRDefault="0020362E" w:rsidP="00A4137E">
      <w:pPr>
        <w:spacing w:after="60"/>
        <w:rPr>
          <w:szCs w:val="24"/>
        </w:rPr>
      </w:pPr>
      <w:r w:rsidRPr="00A4137E">
        <w:rPr>
          <w:szCs w:val="22"/>
        </w:rPr>
        <w:lastRenderedPageBreak/>
        <w:t>On April 9, 2012</w:t>
      </w:r>
      <w:r>
        <w:rPr>
          <w:szCs w:val="22"/>
        </w:rPr>
        <w:t xml:space="preserve">, </w:t>
      </w:r>
      <w:r w:rsidRPr="00A4137E">
        <w:rPr>
          <w:szCs w:val="22"/>
        </w:rPr>
        <w:t xml:space="preserve">INPB </w:t>
      </w:r>
      <w:r>
        <w:rPr>
          <w:szCs w:val="22"/>
        </w:rPr>
        <w:t xml:space="preserve">submitted an application for another air construction permit modification.  </w:t>
      </w:r>
      <w:r w:rsidR="00341991">
        <w:rPr>
          <w:szCs w:val="22"/>
        </w:rPr>
        <w:t xml:space="preserve">In addition, on June 25, 2012 INPB </w:t>
      </w:r>
      <w:r w:rsidR="00D95E47">
        <w:rPr>
          <w:szCs w:val="22"/>
        </w:rPr>
        <w:t xml:space="preserve">requested </w:t>
      </w:r>
      <w:r w:rsidR="00341991">
        <w:rPr>
          <w:szCs w:val="22"/>
        </w:rPr>
        <w:t>additional permit modification</w:t>
      </w:r>
      <w:r w:rsidR="00D95E47">
        <w:rPr>
          <w:szCs w:val="22"/>
        </w:rPr>
        <w:t>s</w:t>
      </w:r>
      <w:r w:rsidR="00341991">
        <w:rPr>
          <w:szCs w:val="22"/>
        </w:rPr>
        <w:t xml:space="preserve"> in response to a request for additional information (RAI) sent to INPB by the Department on June 7, 2012. </w:t>
      </w:r>
      <w:r w:rsidR="00D95E47">
        <w:rPr>
          <w:szCs w:val="24"/>
        </w:rPr>
        <w:t>All t</w:t>
      </w:r>
      <w:r w:rsidR="00341991">
        <w:rPr>
          <w:szCs w:val="24"/>
        </w:rPr>
        <w:t xml:space="preserve">hese requested </w:t>
      </w:r>
      <w:r w:rsidR="00D95E47">
        <w:rPr>
          <w:szCs w:val="24"/>
        </w:rPr>
        <w:t xml:space="preserve">permit </w:t>
      </w:r>
      <w:r>
        <w:rPr>
          <w:szCs w:val="24"/>
        </w:rPr>
        <w:t>modification</w:t>
      </w:r>
      <w:r w:rsidR="00341991">
        <w:rPr>
          <w:szCs w:val="24"/>
        </w:rPr>
        <w:t>s</w:t>
      </w:r>
      <w:r>
        <w:rPr>
          <w:szCs w:val="24"/>
        </w:rPr>
        <w:t xml:space="preserve"> </w:t>
      </w:r>
      <w:r w:rsidR="00D95E47">
        <w:rPr>
          <w:szCs w:val="24"/>
        </w:rPr>
        <w:t>are</w:t>
      </w:r>
      <w:r>
        <w:rPr>
          <w:szCs w:val="24"/>
        </w:rPr>
        <w:t xml:space="preserve"> discussed in this Technical Evaluation and Preliminary Determination document</w:t>
      </w:r>
      <w:r w:rsidR="00D95E47">
        <w:rPr>
          <w:szCs w:val="24"/>
        </w:rPr>
        <w:t xml:space="preserve"> and</w:t>
      </w:r>
      <w:r>
        <w:rPr>
          <w:szCs w:val="24"/>
        </w:rPr>
        <w:t xml:space="preserve"> </w:t>
      </w:r>
      <w:r w:rsidR="00341991">
        <w:rPr>
          <w:szCs w:val="24"/>
        </w:rPr>
        <w:t>consists of the following changes at the</w:t>
      </w:r>
      <w:r>
        <w:rPr>
          <w:szCs w:val="24"/>
        </w:rPr>
        <w:t xml:space="preserve"> </w:t>
      </w:r>
      <w:r w:rsidRPr="005C0403">
        <w:rPr>
          <w:szCs w:val="24"/>
        </w:rPr>
        <w:t xml:space="preserve">INPB IRC </w:t>
      </w:r>
      <w:r>
        <w:rPr>
          <w:szCs w:val="24"/>
        </w:rPr>
        <w:t>facility</w:t>
      </w:r>
      <w:r w:rsidR="00FA6433">
        <w:rPr>
          <w:szCs w:val="24"/>
        </w:rPr>
        <w:t>:</w:t>
      </w:r>
      <w:r w:rsidR="00341991">
        <w:rPr>
          <w:szCs w:val="24"/>
        </w:rPr>
        <w:t xml:space="preserve"> </w:t>
      </w:r>
    </w:p>
    <w:p w:rsidR="0020362E" w:rsidRPr="00A4137E" w:rsidRDefault="00791E53" w:rsidP="0005302D">
      <w:pPr>
        <w:numPr>
          <w:ilvl w:val="0"/>
          <w:numId w:val="5"/>
        </w:numPr>
        <w:spacing w:after="60"/>
        <w:ind w:left="360"/>
        <w:rPr>
          <w:szCs w:val="24"/>
        </w:rPr>
      </w:pPr>
      <w:r>
        <w:rPr>
          <w:szCs w:val="24"/>
        </w:rPr>
        <w:t>Increase</w:t>
      </w:r>
      <w:r w:rsidR="0020362E">
        <w:rPr>
          <w:szCs w:val="24"/>
        </w:rPr>
        <w:t xml:space="preserve"> </w:t>
      </w:r>
      <w:r w:rsidR="00443B26">
        <w:rPr>
          <w:szCs w:val="24"/>
        </w:rPr>
        <w:t xml:space="preserve">in </w:t>
      </w:r>
      <w:r w:rsidR="0020362E">
        <w:rPr>
          <w:szCs w:val="24"/>
        </w:rPr>
        <w:t>the</w:t>
      </w:r>
      <w:r w:rsidR="0020362E" w:rsidRPr="00A4137E">
        <w:rPr>
          <w:szCs w:val="24"/>
        </w:rPr>
        <w:t xml:space="preserve"> capacity of the burner in the vent gas boiler from 84.5 million British thermal units per hour (MMBtu/hr) to 97.2 MMBtu/hr.  There will be no other physical changes to the boiler, stack or associated equipment</w:t>
      </w:r>
      <w:r w:rsidR="0020362E">
        <w:rPr>
          <w:szCs w:val="24"/>
        </w:rPr>
        <w:t>;</w:t>
      </w:r>
    </w:p>
    <w:p w:rsidR="0020362E" w:rsidRPr="00177F3C" w:rsidRDefault="00791E53" w:rsidP="0005302D">
      <w:pPr>
        <w:pStyle w:val="ListParagraph"/>
        <w:numPr>
          <w:ilvl w:val="0"/>
          <w:numId w:val="5"/>
        </w:numPr>
        <w:spacing w:after="60"/>
        <w:ind w:left="360"/>
        <w:contextualSpacing w:val="0"/>
        <w:rPr>
          <w:szCs w:val="22"/>
        </w:rPr>
      </w:pPr>
      <w:r>
        <w:rPr>
          <w:szCs w:val="24"/>
        </w:rPr>
        <w:t>Replace</w:t>
      </w:r>
      <w:r w:rsidR="0020362E">
        <w:rPr>
          <w:szCs w:val="24"/>
        </w:rPr>
        <w:t xml:space="preserve"> the </w:t>
      </w:r>
      <w:r w:rsidR="0020362E" w:rsidRPr="00A4137E">
        <w:rPr>
          <w:szCs w:val="24"/>
        </w:rPr>
        <w:t>1989 model year 500 Kilowatt (kW) Caterpillar Model No. 3412 emergency diesel-fired generator with a smaller 2009 model year 400 kW Kohler Model No. 400REZX natural</w:t>
      </w:r>
      <w:r w:rsidR="00EE0A41">
        <w:rPr>
          <w:szCs w:val="24"/>
        </w:rPr>
        <w:t xml:space="preserve"> gas-</w:t>
      </w:r>
      <w:r w:rsidR="0020362E">
        <w:rPr>
          <w:szCs w:val="24"/>
        </w:rPr>
        <w:t xml:space="preserve">fired emergency generator.  </w:t>
      </w:r>
      <w:r w:rsidR="00EE0A41">
        <w:rPr>
          <w:szCs w:val="24"/>
        </w:rPr>
        <w:t>A</w:t>
      </w:r>
      <w:r w:rsidR="00EE0A41" w:rsidRPr="00177F3C">
        <w:rPr>
          <w:szCs w:val="24"/>
        </w:rPr>
        <w:t xml:space="preserve">ssigned </w:t>
      </w:r>
      <w:r w:rsidR="0020362E" w:rsidRPr="00177F3C">
        <w:rPr>
          <w:szCs w:val="24"/>
        </w:rPr>
        <w:t xml:space="preserve">the </w:t>
      </w:r>
      <w:r w:rsidR="00EE0A41">
        <w:rPr>
          <w:szCs w:val="24"/>
        </w:rPr>
        <w:t xml:space="preserve">new </w:t>
      </w:r>
      <w:r w:rsidR="0020362E" w:rsidRPr="00177F3C">
        <w:rPr>
          <w:szCs w:val="24"/>
        </w:rPr>
        <w:t xml:space="preserve">emergency generator an </w:t>
      </w:r>
      <w:r w:rsidR="00EE0A41">
        <w:rPr>
          <w:szCs w:val="24"/>
        </w:rPr>
        <w:t>emission unit number (EU 011)</w:t>
      </w:r>
      <w:r w:rsidR="0020362E" w:rsidRPr="00177F3C">
        <w:rPr>
          <w:szCs w:val="24"/>
        </w:rPr>
        <w:t xml:space="preserve">; </w:t>
      </w:r>
    </w:p>
    <w:p w:rsidR="0020362E" w:rsidRDefault="00791E53" w:rsidP="0005302D">
      <w:pPr>
        <w:numPr>
          <w:ilvl w:val="0"/>
          <w:numId w:val="5"/>
        </w:numPr>
        <w:spacing w:after="60"/>
        <w:ind w:left="360"/>
        <w:rPr>
          <w:szCs w:val="24"/>
        </w:rPr>
      </w:pPr>
      <w:r>
        <w:rPr>
          <w:szCs w:val="24"/>
        </w:rPr>
        <w:t>Modify</w:t>
      </w:r>
      <w:r w:rsidR="0020362E">
        <w:rPr>
          <w:szCs w:val="24"/>
        </w:rPr>
        <w:t xml:space="preserve"> </w:t>
      </w:r>
      <w:r w:rsidR="0020362E" w:rsidRPr="00A4137E">
        <w:rPr>
          <w:szCs w:val="24"/>
        </w:rPr>
        <w:t xml:space="preserve">Appendix BMP of the permit to reflect </w:t>
      </w:r>
      <w:r>
        <w:rPr>
          <w:szCs w:val="24"/>
        </w:rPr>
        <w:t xml:space="preserve">the </w:t>
      </w:r>
      <w:r w:rsidR="0020362E" w:rsidRPr="00A4137E">
        <w:rPr>
          <w:szCs w:val="24"/>
        </w:rPr>
        <w:t>changes made in Permit No. 0610096</w:t>
      </w:r>
      <w:r w:rsidR="0020362E">
        <w:rPr>
          <w:szCs w:val="24"/>
        </w:rPr>
        <w:t>-</w:t>
      </w:r>
      <w:r w:rsidR="0020362E" w:rsidRPr="00A4137E">
        <w:rPr>
          <w:szCs w:val="24"/>
        </w:rPr>
        <w:t>002</w:t>
      </w:r>
      <w:r w:rsidR="0020362E">
        <w:rPr>
          <w:szCs w:val="24"/>
        </w:rPr>
        <w:t>-</w:t>
      </w:r>
      <w:r w:rsidR="0020362E" w:rsidRPr="00A4137E">
        <w:rPr>
          <w:szCs w:val="24"/>
        </w:rPr>
        <w:t>AC with regard to municipal solid waste (MSW).</w:t>
      </w:r>
      <w:r w:rsidR="0020362E">
        <w:rPr>
          <w:szCs w:val="24"/>
        </w:rPr>
        <w:t xml:space="preserve">  </w:t>
      </w:r>
      <w:r w:rsidR="00EE0A41" w:rsidRPr="00EE0A41">
        <w:rPr>
          <w:szCs w:val="24"/>
        </w:rPr>
        <w:t>In Permit No. 0610096-002-AC</w:t>
      </w:r>
      <w:r w:rsidR="00EE0A41">
        <w:rPr>
          <w:szCs w:val="24"/>
        </w:rPr>
        <w:t>, i</w:t>
      </w:r>
      <w:r w:rsidR="0020362E" w:rsidRPr="005914C6">
        <w:rPr>
          <w:szCs w:val="24"/>
        </w:rPr>
        <w:t xml:space="preserve">nstead of requiring a follow-on permit application to authorize routine processing of MSW, the permit granted authority to process MSW on a routine basis at feed rates for which compliance has been demonstrated.  INPB has also requested </w:t>
      </w:r>
      <w:r w:rsidR="00AE2C90">
        <w:rPr>
          <w:szCs w:val="24"/>
        </w:rPr>
        <w:t xml:space="preserve">some minor </w:t>
      </w:r>
      <w:r w:rsidR="0020362E" w:rsidRPr="005914C6">
        <w:rPr>
          <w:szCs w:val="24"/>
        </w:rPr>
        <w:t xml:space="preserve">changes to </w:t>
      </w:r>
      <w:r w:rsidR="00AE2C90">
        <w:rPr>
          <w:szCs w:val="24"/>
        </w:rPr>
        <w:t xml:space="preserve">some </w:t>
      </w:r>
      <w:r w:rsidR="0020362E" w:rsidRPr="005914C6">
        <w:rPr>
          <w:szCs w:val="24"/>
        </w:rPr>
        <w:t xml:space="preserve">language </w:t>
      </w:r>
      <w:r w:rsidR="00AE2C90">
        <w:rPr>
          <w:szCs w:val="24"/>
        </w:rPr>
        <w:t>in</w:t>
      </w:r>
      <w:r w:rsidR="0020362E" w:rsidRPr="005914C6">
        <w:rPr>
          <w:szCs w:val="24"/>
        </w:rPr>
        <w:t xml:space="preserve"> the BMP plan for clarification proposes</w:t>
      </w:r>
      <w:r>
        <w:rPr>
          <w:szCs w:val="24"/>
        </w:rPr>
        <w:t>;</w:t>
      </w:r>
      <w:r w:rsidRPr="00791E53">
        <w:rPr>
          <w:szCs w:val="24"/>
        </w:rPr>
        <w:t xml:space="preserve"> </w:t>
      </w:r>
    </w:p>
    <w:p w:rsidR="00791E53" w:rsidRDefault="00791E53" w:rsidP="0005302D">
      <w:pPr>
        <w:numPr>
          <w:ilvl w:val="0"/>
          <w:numId w:val="5"/>
        </w:numPr>
        <w:spacing w:after="60"/>
        <w:ind w:left="360"/>
        <w:rPr>
          <w:szCs w:val="24"/>
        </w:rPr>
      </w:pPr>
      <w:r>
        <w:rPr>
          <w:szCs w:val="24"/>
        </w:rPr>
        <w:t>Added language to the permit to provide flexibility during the startup and shakedown of the facility</w:t>
      </w:r>
      <w:r w:rsidR="004A40A6">
        <w:rPr>
          <w:szCs w:val="24"/>
        </w:rPr>
        <w:t xml:space="preserve"> with regard to the vent gas boiler;</w:t>
      </w:r>
      <w:r w:rsidR="004A40A6" w:rsidRPr="004A40A6">
        <w:rPr>
          <w:szCs w:val="24"/>
        </w:rPr>
        <w:t xml:space="preserve"> </w:t>
      </w:r>
    </w:p>
    <w:p w:rsidR="001E66F0" w:rsidRDefault="00341991" w:rsidP="00341991">
      <w:pPr>
        <w:numPr>
          <w:ilvl w:val="0"/>
          <w:numId w:val="5"/>
        </w:numPr>
        <w:spacing w:after="60"/>
        <w:ind w:left="360"/>
        <w:rPr>
          <w:szCs w:val="24"/>
        </w:rPr>
      </w:pPr>
      <w:r w:rsidRPr="00341991">
        <w:rPr>
          <w:szCs w:val="24"/>
        </w:rPr>
        <w:t>Refine the hydrogen sulfide (H</w:t>
      </w:r>
      <w:r w:rsidRPr="00341991">
        <w:rPr>
          <w:szCs w:val="24"/>
          <w:vertAlign w:val="subscript"/>
        </w:rPr>
        <w:t>2</w:t>
      </w:r>
      <w:r w:rsidRPr="00341991">
        <w:rPr>
          <w:szCs w:val="24"/>
        </w:rPr>
        <w:t>S) concentration estimated in the syngas and fermenter off gas generated at the facility based on new data from a pilot facility that utilize</w:t>
      </w:r>
      <w:r w:rsidR="003C7B2F">
        <w:rPr>
          <w:szCs w:val="24"/>
        </w:rPr>
        <w:t>s</w:t>
      </w:r>
      <w:r w:rsidRPr="00341991">
        <w:rPr>
          <w:szCs w:val="24"/>
        </w:rPr>
        <w:t xml:space="preserve"> the same waste feedstock as the INEOS facility.  </w:t>
      </w:r>
      <w:r w:rsidR="00A24D72">
        <w:rPr>
          <w:szCs w:val="24"/>
        </w:rPr>
        <w:t>Previously, t</w:t>
      </w:r>
      <w:r w:rsidRPr="00341991">
        <w:rPr>
          <w:szCs w:val="24"/>
        </w:rPr>
        <w:t>he estimated H</w:t>
      </w:r>
      <w:r w:rsidRPr="00341991">
        <w:rPr>
          <w:szCs w:val="24"/>
          <w:vertAlign w:val="subscript"/>
        </w:rPr>
        <w:t>2</w:t>
      </w:r>
      <w:r w:rsidRPr="00341991">
        <w:rPr>
          <w:szCs w:val="24"/>
        </w:rPr>
        <w:t>S concentrations had been 700 parts per million (ppm) in the syngas and 1,000 ppm in the off gas.  The new estimate is 500 ppm in both gas streams.  Based on this new H</w:t>
      </w:r>
      <w:r w:rsidRPr="00341991">
        <w:rPr>
          <w:szCs w:val="24"/>
          <w:vertAlign w:val="subscript"/>
        </w:rPr>
        <w:t>2</w:t>
      </w:r>
      <w:r w:rsidRPr="00341991">
        <w:rPr>
          <w:szCs w:val="24"/>
        </w:rPr>
        <w:t>S estimate, the mass of H</w:t>
      </w:r>
      <w:r w:rsidRPr="00341991">
        <w:rPr>
          <w:szCs w:val="24"/>
          <w:vertAlign w:val="subscript"/>
        </w:rPr>
        <w:t>2</w:t>
      </w:r>
      <w:r w:rsidRPr="00341991">
        <w:rPr>
          <w:szCs w:val="24"/>
        </w:rPr>
        <w:t>S entering the vent gas boiler has been reduced resulting in the estimated mass emission rates (pounds per hour and tons per year) of all pollutants from th</w:t>
      </w:r>
      <w:r w:rsidR="00D95E47">
        <w:rPr>
          <w:szCs w:val="24"/>
        </w:rPr>
        <w:t>e vent gas boiler being reduced;</w:t>
      </w:r>
      <w:r w:rsidRPr="00341991">
        <w:rPr>
          <w:szCs w:val="24"/>
        </w:rPr>
        <w:t xml:space="preserve"> </w:t>
      </w:r>
    </w:p>
    <w:p w:rsidR="00341991" w:rsidRPr="00341991" w:rsidRDefault="001E66F0" w:rsidP="00341991">
      <w:pPr>
        <w:numPr>
          <w:ilvl w:val="0"/>
          <w:numId w:val="5"/>
        </w:numPr>
        <w:spacing w:after="60"/>
        <w:ind w:left="360"/>
        <w:rPr>
          <w:szCs w:val="24"/>
        </w:rPr>
      </w:pPr>
      <w:r>
        <w:rPr>
          <w:szCs w:val="24"/>
        </w:rPr>
        <w:t>Increase the allowable operational hours of the syngas flare during the normal operation of the facility to provide additional flexibility during the start up of the gasification, fermentation and distillation systems and the vent gas boiler.  The reduction in the H2S concentration allows the operational hours of the flare to be increased from 300 hours to 640 hours</w:t>
      </w:r>
      <w:r w:rsidR="00C0197C">
        <w:rPr>
          <w:szCs w:val="24"/>
        </w:rPr>
        <w:t xml:space="preserve"> without exceeding the 100 tons per year (TPY) PSD threshold for sulfur dioxide (SO</w:t>
      </w:r>
      <w:r w:rsidR="00C0197C" w:rsidRPr="00C0197C">
        <w:rPr>
          <w:szCs w:val="24"/>
          <w:vertAlign w:val="subscript"/>
        </w:rPr>
        <w:t>2</w:t>
      </w:r>
      <w:r w:rsidR="00C0197C">
        <w:rPr>
          <w:szCs w:val="24"/>
        </w:rPr>
        <w:t>) emissions</w:t>
      </w:r>
      <w:r>
        <w:rPr>
          <w:szCs w:val="24"/>
        </w:rPr>
        <w:t xml:space="preserve">; </w:t>
      </w:r>
      <w:r w:rsidR="00D95E47" w:rsidRPr="00177F3C">
        <w:rPr>
          <w:szCs w:val="24"/>
        </w:rPr>
        <w:t>and,</w:t>
      </w:r>
    </w:p>
    <w:p w:rsidR="00341991" w:rsidRPr="00341991" w:rsidRDefault="00341991" w:rsidP="00341991">
      <w:pPr>
        <w:numPr>
          <w:ilvl w:val="0"/>
          <w:numId w:val="5"/>
        </w:numPr>
        <w:spacing w:after="60"/>
        <w:ind w:left="360"/>
        <w:rPr>
          <w:szCs w:val="24"/>
        </w:rPr>
      </w:pPr>
      <w:r w:rsidRPr="00341991">
        <w:rPr>
          <w:szCs w:val="24"/>
        </w:rPr>
        <w:t>Incorporate a H</w:t>
      </w:r>
      <w:r w:rsidRPr="00341991">
        <w:rPr>
          <w:szCs w:val="24"/>
          <w:vertAlign w:val="subscript"/>
        </w:rPr>
        <w:t>2</w:t>
      </w:r>
      <w:r w:rsidRPr="00341991">
        <w:rPr>
          <w:szCs w:val="24"/>
        </w:rPr>
        <w:t>S sampling protocol into the permit to provide reasonable assurance that the H</w:t>
      </w:r>
      <w:r w:rsidRPr="00341991">
        <w:rPr>
          <w:szCs w:val="24"/>
          <w:vertAlign w:val="subscript"/>
        </w:rPr>
        <w:t>2</w:t>
      </w:r>
      <w:r w:rsidRPr="00341991">
        <w:rPr>
          <w:szCs w:val="24"/>
        </w:rPr>
        <w:t>S concentration in the syngas and off gas streams does not exceed the permitted 500 ppm level.</w:t>
      </w:r>
    </w:p>
    <w:p w:rsidR="00273621" w:rsidRDefault="0020362E" w:rsidP="00FD5BF9">
      <w:pPr>
        <w:rPr>
          <w:szCs w:val="22"/>
        </w:rPr>
      </w:pPr>
      <w:r>
        <w:rPr>
          <w:szCs w:val="22"/>
        </w:rPr>
        <w:t>Table 1 gives a list of the emission units (EU) at the facility.  EU 005 and 009 were eliminated as a result of permit modification 0610096-002-AC.  A new EU (EU 011) containing the emergency generator and emergency fire pump engine will be created as a result of this permitting action.  In previous permitting action</w:t>
      </w:r>
      <w:r w:rsidR="00FA6433">
        <w:rPr>
          <w:szCs w:val="22"/>
        </w:rPr>
        <w:t>s</w:t>
      </w:r>
      <w:r>
        <w:rPr>
          <w:szCs w:val="22"/>
        </w:rPr>
        <w:t xml:space="preserve"> these emergency pieces of equipment were considered insignificant emission units.</w:t>
      </w:r>
      <w:r w:rsidR="00273621">
        <w:rPr>
          <w:szCs w:val="22"/>
        </w:rPr>
        <w:t xml:space="preserve">  </w:t>
      </w:r>
    </w:p>
    <w:p w:rsidR="0020362E" w:rsidRPr="008C06DA" w:rsidRDefault="0020362E" w:rsidP="00FD5BF9">
      <w:pPr>
        <w:keepNext/>
        <w:rPr>
          <w:b/>
          <w:szCs w:val="22"/>
        </w:rPr>
      </w:pPr>
      <w:r w:rsidRPr="008C06DA">
        <w:rPr>
          <w:b/>
          <w:szCs w:val="22"/>
        </w:rPr>
        <w:t>Table 1</w:t>
      </w:r>
      <w:r>
        <w:rPr>
          <w:b/>
          <w:szCs w:val="22"/>
        </w:rPr>
        <w:t xml:space="preserve"> – List of EU at the </w:t>
      </w:r>
      <w:r w:rsidRPr="005C0403">
        <w:rPr>
          <w:b/>
          <w:szCs w:val="22"/>
        </w:rPr>
        <w:t xml:space="preserve">INPB IRC </w:t>
      </w:r>
      <w:r>
        <w:rPr>
          <w:b/>
          <w:szCs w:val="22"/>
        </w:rPr>
        <w:t>Facility.</w:t>
      </w:r>
    </w:p>
    <w:tbl>
      <w:tblPr>
        <w:tblW w:w="4940" w:type="pct"/>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4" w:type="dxa"/>
          <w:left w:w="115" w:type="dxa"/>
          <w:bottom w:w="14" w:type="dxa"/>
          <w:right w:w="115" w:type="dxa"/>
        </w:tblCellMar>
        <w:tblLook w:val="0000"/>
      </w:tblPr>
      <w:tblGrid>
        <w:gridCol w:w="1554"/>
        <w:gridCol w:w="7921"/>
      </w:tblGrid>
      <w:tr w:rsidR="0020362E" w:rsidRPr="00A21062" w:rsidTr="005A489C">
        <w:tc>
          <w:tcPr>
            <w:tcW w:w="820" w:type="pct"/>
            <w:shd w:val="clear" w:color="auto" w:fill="DBE5F1" w:themeFill="accent1" w:themeFillTint="33"/>
            <w:vAlign w:val="center"/>
          </w:tcPr>
          <w:p w:rsidR="0020362E" w:rsidRPr="00A21062" w:rsidRDefault="0020362E" w:rsidP="005914C6">
            <w:pPr>
              <w:keepNext/>
              <w:spacing w:after="0"/>
              <w:ind w:right="-205"/>
              <w:jc w:val="center"/>
              <w:rPr>
                <w:b/>
                <w:szCs w:val="22"/>
              </w:rPr>
            </w:pPr>
            <w:r>
              <w:rPr>
                <w:b/>
                <w:szCs w:val="22"/>
              </w:rPr>
              <w:t xml:space="preserve">EU </w:t>
            </w:r>
            <w:r w:rsidRPr="00A21062">
              <w:rPr>
                <w:b/>
                <w:szCs w:val="22"/>
              </w:rPr>
              <w:t>No.</w:t>
            </w:r>
          </w:p>
        </w:tc>
        <w:tc>
          <w:tcPr>
            <w:tcW w:w="4180" w:type="pct"/>
            <w:shd w:val="clear" w:color="auto" w:fill="DBE5F1" w:themeFill="accent1" w:themeFillTint="33"/>
            <w:vAlign w:val="center"/>
          </w:tcPr>
          <w:p w:rsidR="0020362E" w:rsidRPr="00A21062" w:rsidRDefault="0020362E" w:rsidP="005914C6">
            <w:pPr>
              <w:keepNext/>
              <w:spacing w:after="0"/>
              <w:jc w:val="center"/>
              <w:rPr>
                <w:szCs w:val="22"/>
              </w:rPr>
            </w:pPr>
            <w:r w:rsidRPr="00A21062">
              <w:rPr>
                <w:b/>
                <w:szCs w:val="22"/>
              </w:rPr>
              <w:t>Emission Unit Description</w:t>
            </w:r>
          </w:p>
        </w:tc>
      </w:tr>
      <w:tr w:rsidR="0020362E" w:rsidRPr="00A21062" w:rsidTr="005914C6">
        <w:tc>
          <w:tcPr>
            <w:tcW w:w="820" w:type="pct"/>
            <w:vAlign w:val="center"/>
          </w:tcPr>
          <w:p w:rsidR="0020362E" w:rsidRPr="00A21062" w:rsidRDefault="0020362E" w:rsidP="005914C6">
            <w:pPr>
              <w:spacing w:after="0"/>
              <w:jc w:val="center"/>
              <w:rPr>
                <w:szCs w:val="22"/>
              </w:rPr>
            </w:pPr>
            <w:r w:rsidRPr="00A21062">
              <w:rPr>
                <w:szCs w:val="22"/>
              </w:rPr>
              <w:t>001</w:t>
            </w:r>
          </w:p>
        </w:tc>
        <w:tc>
          <w:tcPr>
            <w:tcW w:w="4180" w:type="pct"/>
          </w:tcPr>
          <w:p w:rsidR="0020362E" w:rsidRPr="00A21062" w:rsidRDefault="0020362E" w:rsidP="005914C6">
            <w:pPr>
              <w:spacing w:after="0"/>
              <w:rPr>
                <w:b/>
                <w:szCs w:val="22"/>
              </w:rPr>
            </w:pPr>
            <w:r>
              <w:rPr>
                <w:szCs w:val="22"/>
              </w:rPr>
              <w:t>Materials Handling Area</w:t>
            </w:r>
          </w:p>
        </w:tc>
      </w:tr>
      <w:tr w:rsidR="0020362E" w:rsidRPr="00A21062" w:rsidTr="005914C6">
        <w:tc>
          <w:tcPr>
            <w:tcW w:w="820" w:type="pct"/>
            <w:vAlign w:val="center"/>
          </w:tcPr>
          <w:p w:rsidR="0020362E" w:rsidRPr="00A21062" w:rsidRDefault="0020362E" w:rsidP="005914C6">
            <w:pPr>
              <w:spacing w:after="0"/>
              <w:jc w:val="center"/>
              <w:rPr>
                <w:szCs w:val="22"/>
              </w:rPr>
            </w:pPr>
            <w:r w:rsidRPr="00A21062">
              <w:rPr>
                <w:szCs w:val="22"/>
              </w:rPr>
              <w:t>002</w:t>
            </w:r>
          </w:p>
        </w:tc>
        <w:tc>
          <w:tcPr>
            <w:tcW w:w="4180" w:type="pct"/>
          </w:tcPr>
          <w:p w:rsidR="0020362E" w:rsidRPr="00A21062" w:rsidRDefault="0020362E" w:rsidP="005914C6">
            <w:pPr>
              <w:spacing w:after="0"/>
              <w:rPr>
                <w:szCs w:val="22"/>
              </w:rPr>
            </w:pPr>
            <w:r>
              <w:rPr>
                <w:szCs w:val="22"/>
              </w:rPr>
              <w:t>Feedstock Dryers No. 1 and No. 2</w:t>
            </w:r>
          </w:p>
        </w:tc>
      </w:tr>
      <w:tr w:rsidR="0020362E" w:rsidRPr="00A21062" w:rsidTr="005914C6">
        <w:tc>
          <w:tcPr>
            <w:tcW w:w="820" w:type="pct"/>
            <w:vAlign w:val="center"/>
          </w:tcPr>
          <w:p w:rsidR="0020362E" w:rsidRPr="00A21062" w:rsidRDefault="0020362E" w:rsidP="005914C6">
            <w:pPr>
              <w:spacing w:after="0"/>
              <w:jc w:val="center"/>
              <w:rPr>
                <w:szCs w:val="22"/>
              </w:rPr>
            </w:pPr>
            <w:r w:rsidRPr="00A21062">
              <w:rPr>
                <w:szCs w:val="22"/>
              </w:rPr>
              <w:t>003</w:t>
            </w:r>
          </w:p>
        </w:tc>
        <w:tc>
          <w:tcPr>
            <w:tcW w:w="4180" w:type="pct"/>
          </w:tcPr>
          <w:p w:rsidR="0020362E" w:rsidRPr="00A21062" w:rsidRDefault="0020362E" w:rsidP="005914C6">
            <w:pPr>
              <w:spacing w:after="0"/>
              <w:rPr>
                <w:szCs w:val="22"/>
              </w:rPr>
            </w:pPr>
            <w:r>
              <w:rPr>
                <w:szCs w:val="22"/>
              </w:rPr>
              <w:t>Gasification, Fermentation and Distillation Systems</w:t>
            </w:r>
          </w:p>
        </w:tc>
      </w:tr>
      <w:tr w:rsidR="0020362E" w:rsidRPr="00A21062" w:rsidTr="005914C6">
        <w:tc>
          <w:tcPr>
            <w:tcW w:w="820" w:type="pct"/>
            <w:vAlign w:val="center"/>
          </w:tcPr>
          <w:p w:rsidR="0020362E" w:rsidRPr="00A21062" w:rsidRDefault="0020362E" w:rsidP="005914C6">
            <w:pPr>
              <w:spacing w:after="0"/>
              <w:jc w:val="center"/>
              <w:rPr>
                <w:szCs w:val="22"/>
              </w:rPr>
            </w:pPr>
            <w:r w:rsidRPr="00A21062">
              <w:rPr>
                <w:szCs w:val="22"/>
              </w:rPr>
              <w:t>004</w:t>
            </w:r>
          </w:p>
        </w:tc>
        <w:tc>
          <w:tcPr>
            <w:tcW w:w="4180" w:type="pct"/>
          </w:tcPr>
          <w:p w:rsidR="0020362E" w:rsidRPr="00A21062" w:rsidRDefault="0020362E" w:rsidP="005914C6">
            <w:pPr>
              <w:spacing w:after="0"/>
              <w:rPr>
                <w:szCs w:val="22"/>
              </w:rPr>
            </w:pPr>
            <w:r>
              <w:rPr>
                <w:szCs w:val="22"/>
              </w:rPr>
              <w:t>Distillation Unit Fugitive Emissions</w:t>
            </w:r>
          </w:p>
        </w:tc>
      </w:tr>
      <w:tr w:rsidR="00F22527" w:rsidRPr="00A21062" w:rsidTr="007575D5">
        <w:tc>
          <w:tcPr>
            <w:tcW w:w="820" w:type="pct"/>
            <w:shd w:val="clear" w:color="auto" w:fill="auto"/>
            <w:vAlign w:val="center"/>
          </w:tcPr>
          <w:p w:rsidR="00F22527" w:rsidRPr="007575D5" w:rsidRDefault="00F22527" w:rsidP="005914C6">
            <w:pPr>
              <w:spacing w:after="0"/>
              <w:jc w:val="center"/>
              <w:rPr>
                <w:b/>
                <w:strike/>
                <w:szCs w:val="22"/>
              </w:rPr>
            </w:pPr>
            <w:r w:rsidRPr="007575D5">
              <w:rPr>
                <w:b/>
                <w:strike/>
                <w:szCs w:val="22"/>
              </w:rPr>
              <w:t>005</w:t>
            </w:r>
          </w:p>
        </w:tc>
        <w:tc>
          <w:tcPr>
            <w:tcW w:w="4180" w:type="pct"/>
            <w:shd w:val="clear" w:color="auto" w:fill="auto"/>
          </w:tcPr>
          <w:p w:rsidR="00F22527" w:rsidRPr="007575D5" w:rsidRDefault="00F22527" w:rsidP="005914C6">
            <w:pPr>
              <w:spacing w:after="0"/>
              <w:rPr>
                <w:b/>
                <w:strike/>
                <w:szCs w:val="22"/>
              </w:rPr>
            </w:pPr>
            <w:r w:rsidRPr="007575D5">
              <w:rPr>
                <w:b/>
                <w:strike/>
                <w:szCs w:val="22"/>
              </w:rPr>
              <w:t>Desulfurization Unit Oxidation Tank</w:t>
            </w:r>
            <w:r w:rsidR="001A6307" w:rsidRPr="007575D5">
              <w:rPr>
                <w:b/>
                <w:strike/>
                <w:szCs w:val="22"/>
              </w:rPr>
              <w:t xml:space="preserve"> </w:t>
            </w:r>
            <w:r w:rsidR="001A6307" w:rsidRPr="007575D5">
              <w:rPr>
                <w:b/>
                <w:szCs w:val="22"/>
              </w:rPr>
              <w:t>(Inactive)</w:t>
            </w:r>
          </w:p>
        </w:tc>
      </w:tr>
      <w:tr w:rsidR="0020362E" w:rsidRPr="00A21062" w:rsidTr="005914C6">
        <w:tc>
          <w:tcPr>
            <w:tcW w:w="820" w:type="pct"/>
            <w:vAlign w:val="center"/>
          </w:tcPr>
          <w:p w:rsidR="0020362E" w:rsidRPr="007575D5" w:rsidRDefault="0020362E" w:rsidP="005914C6">
            <w:pPr>
              <w:spacing w:after="0"/>
              <w:jc w:val="center"/>
              <w:rPr>
                <w:szCs w:val="22"/>
              </w:rPr>
            </w:pPr>
            <w:r w:rsidRPr="007575D5">
              <w:rPr>
                <w:szCs w:val="22"/>
              </w:rPr>
              <w:t>006</w:t>
            </w:r>
          </w:p>
        </w:tc>
        <w:tc>
          <w:tcPr>
            <w:tcW w:w="4180" w:type="pct"/>
          </w:tcPr>
          <w:p w:rsidR="0020362E" w:rsidRPr="007575D5" w:rsidRDefault="0020362E" w:rsidP="005914C6">
            <w:pPr>
              <w:spacing w:after="0"/>
              <w:rPr>
                <w:szCs w:val="22"/>
              </w:rPr>
            </w:pPr>
            <w:r w:rsidRPr="007575D5">
              <w:rPr>
                <w:szCs w:val="22"/>
              </w:rPr>
              <w:t>Vent Gas Boiler</w:t>
            </w:r>
          </w:p>
        </w:tc>
      </w:tr>
      <w:tr w:rsidR="0020362E" w:rsidRPr="00A21062" w:rsidTr="005914C6">
        <w:tc>
          <w:tcPr>
            <w:tcW w:w="820" w:type="pct"/>
            <w:vAlign w:val="center"/>
          </w:tcPr>
          <w:p w:rsidR="0020362E" w:rsidRPr="007575D5" w:rsidRDefault="0020362E" w:rsidP="005914C6">
            <w:pPr>
              <w:spacing w:after="0"/>
              <w:jc w:val="center"/>
              <w:rPr>
                <w:szCs w:val="22"/>
              </w:rPr>
            </w:pPr>
            <w:r w:rsidRPr="007575D5">
              <w:rPr>
                <w:szCs w:val="22"/>
              </w:rPr>
              <w:t>007</w:t>
            </w:r>
          </w:p>
        </w:tc>
        <w:tc>
          <w:tcPr>
            <w:tcW w:w="4180" w:type="pct"/>
          </w:tcPr>
          <w:p w:rsidR="0020362E" w:rsidRPr="007575D5" w:rsidRDefault="0020362E" w:rsidP="005914C6">
            <w:pPr>
              <w:spacing w:after="0"/>
              <w:rPr>
                <w:szCs w:val="22"/>
              </w:rPr>
            </w:pPr>
            <w:r w:rsidRPr="007575D5">
              <w:rPr>
                <w:szCs w:val="22"/>
              </w:rPr>
              <w:t>Tank Farm</w:t>
            </w:r>
          </w:p>
        </w:tc>
      </w:tr>
      <w:tr w:rsidR="0020362E" w:rsidRPr="00A21062" w:rsidTr="005914C6">
        <w:tc>
          <w:tcPr>
            <w:tcW w:w="820" w:type="pct"/>
            <w:vAlign w:val="center"/>
          </w:tcPr>
          <w:p w:rsidR="0020362E" w:rsidRPr="007575D5" w:rsidRDefault="0020362E" w:rsidP="005914C6">
            <w:pPr>
              <w:spacing w:after="0"/>
              <w:jc w:val="center"/>
              <w:rPr>
                <w:szCs w:val="22"/>
              </w:rPr>
            </w:pPr>
            <w:r w:rsidRPr="007575D5">
              <w:rPr>
                <w:szCs w:val="22"/>
              </w:rPr>
              <w:t>008</w:t>
            </w:r>
          </w:p>
        </w:tc>
        <w:tc>
          <w:tcPr>
            <w:tcW w:w="4180" w:type="pct"/>
          </w:tcPr>
          <w:p w:rsidR="0020362E" w:rsidRPr="007575D5" w:rsidRDefault="0020362E" w:rsidP="005914C6">
            <w:pPr>
              <w:spacing w:after="0"/>
              <w:rPr>
                <w:bCs/>
                <w:szCs w:val="22"/>
              </w:rPr>
            </w:pPr>
            <w:r w:rsidRPr="007575D5">
              <w:rPr>
                <w:szCs w:val="22"/>
              </w:rPr>
              <w:t>Loadout Flare</w:t>
            </w:r>
          </w:p>
        </w:tc>
      </w:tr>
      <w:tr w:rsidR="00F22527" w:rsidRPr="00A21062" w:rsidTr="007575D5">
        <w:tc>
          <w:tcPr>
            <w:tcW w:w="820" w:type="pct"/>
            <w:shd w:val="clear" w:color="auto" w:fill="auto"/>
            <w:vAlign w:val="center"/>
          </w:tcPr>
          <w:p w:rsidR="00F22527" w:rsidRPr="007575D5" w:rsidRDefault="00F22527" w:rsidP="005914C6">
            <w:pPr>
              <w:spacing w:after="0"/>
              <w:jc w:val="center"/>
              <w:rPr>
                <w:b/>
                <w:strike/>
                <w:szCs w:val="22"/>
              </w:rPr>
            </w:pPr>
            <w:r w:rsidRPr="007575D5">
              <w:rPr>
                <w:b/>
                <w:strike/>
                <w:szCs w:val="22"/>
              </w:rPr>
              <w:t>009</w:t>
            </w:r>
          </w:p>
        </w:tc>
        <w:tc>
          <w:tcPr>
            <w:tcW w:w="4180" w:type="pct"/>
            <w:shd w:val="clear" w:color="auto" w:fill="auto"/>
          </w:tcPr>
          <w:p w:rsidR="00F22527" w:rsidRPr="007575D5" w:rsidRDefault="00F22527" w:rsidP="005914C6">
            <w:pPr>
              <w:spacing w:after="0"/>
              <w:rPr>
                <w:b/>
                <w:strike/>
                <w:szCs w:val="22"/>
              </w:rPr>
            </w:pPr>
            <w:r w:rsidRPr="007575D5">
              <w:rPr>
                <w:b/>
                <w:strike/>
                <w:szCs w:val="22"/>
              </w:rPr>
              <w:t>Gasifier Flare</w:t>
            </w:r>
            <w:r w:rsidR="001A6307" w:rsidRPr="007575D5">
              <w:rPr>
                <w:b/>
                <w:szCs w:val="22"/>
              </w:rPr>
              <w:t>(Inactive)</w:t>
            </w:r>
          </w:p>
        </w:tc>
      </w:tr>
      <w:tr w:rsidR="0020362E" w:rsidRPr="00A21062" w:rsidTr="007575D5">
        <w:tc>
          <w:tcPr>
            <w:tcW w:w="820" w:type="pct"/>
            <w:shd w:val="clear" w:color="auto" w:fill="auto"/>
            <w:vAlign w:val="center"/>
          </w:tcPr>
          <w:p w:rsidR="0020362E" w:rsidRPr="00A21062" w:rsidRDefault="0020362E" w:rsidP="005914C6">
            <w:pPr>
              <w:spacing w:after="0"/>
              <w:jc w:val="center"/>
              <w:rPr>
                <w:szCs w:val="22"/>
              </w:rPr>
            </w:pPr>
            <w:r>
              <w:rPr>
                <w:szCs w:val="22"/>
              </w:rPr>
              <w:lastRenderedPageBreak/>
              <w:t>010</w:t>
            </w:r>
          </w:p>
        </w:tc>
        <w:tc>
          <w:tcPr>
            <w:tcW w:w="4180" w:type="pct"/>
            <w:shd w:val="clear" w:color="auto" w:fill="auto"/>
          </w:tcPr>
          <w:p w:rsidR="0020362E" w:rsidRPr="00A21062" w:rsidRDefault="0020362E" w:rsidP="005914C6">
            <w:pPr>
              <w:spacing w:after="0"/>
              <w:rPr>
                <w:szCs w:val="22"/>
              </w:rPr>
            </w:pPr>
            <w:r>
              <w:rPr>
                <w:szCs w:val="22"/>
              </w:rPr>
              <w:t>Syngas Flare</w:t>
            </w:r>
          </w:p>
        </w:tc>
      </w:tr>
      <w:tr w:rsidR="0020362E" w:rsidRPr="00A21062" w:rsidTr="007575D5">
        <w:tc>
          <w:tcPr>
            <w:tcW w:w="820" w:type="pct"/>
            <w:shd w:val="clear" w:color="auto" w:fill="auto"/>
            <w:vAlign w:val="center"/>
          </w:tcPr>
          <w:p w:rsidR="0020362E" w:rsidRPr="00232A73" w:rsidRDefault="0020362E" w:rsidP="005914C6">
            <w:pPr>
              <w:spacing w:after="0"/>
              <w:jc w:val="center"/>
              <w:rPr>
                <w:b/>
                <w:szCs w:val="22"/>
              </w:rPr>
            </w:pPr>
            <w:r w:rsidRPr="00232A73">
              <w:rPr>
                <w:b/>
                <w:szCs w:val="22"/>
              </w:rPr>
              <w:t>011</w:t>
            </w:r>
          </w:p>
        </w:tc>
        <w:tc>
          <w:tcPr>
            <w:tcW w:w="4180" w:type="pct"/>
            <w:shd w:val="clear" w:color="auto" w:fill="auto"/>
          </w:tcPr>
          <w:p w:rsidR="0020362E" w:rsidRPr="00232A73" w:rsidRDefault="0020362E" w:rsidP="005914C6">
            <w:pPr>
              <w:spacing w:after="0"/>
              <w:rPr>
                <w:b/>
                <w:szCs w:val="22"/>
              </w:rPr>
            </w:pPr>
            <w:r w:rsidRPr="00232A73">
              <w:rPr>
                <w:b/>
                <w:szCs w:val="22"/>
              </w:rPr>
              <w:t>Emergency Equipment</w:t>
            </w:r>
            <w:r w:rsidR="00515258">
              <w:rPr>
                <w:b/>
                <w:szCs w:val="22"/>
              </w:rPr>
              <w:t xml:space="preserve"> (Added EU)</w:t>
            </w:r>
          </w:p>
        </w:tc>
      </w:tr>
    </w:tbl>
    <w:p w:rsidR="0020362E" w:rsidRPr="00CA2561" w:rsidRDefault="0020362E" w:rsidP="0005302D">
      <w:pPr>
        <w:pStyle w:val="ListParagraph"/>
        <w:widowControl w:val="0"/>
        <w:numPr>
          <w:ilvl w:val="1"/>
          <w:numId w:val="3"/>
        </w:numPr>
        <w:spacing w:before="120"/>
        <w:ind w:left="720" w:hanging="720"/>
        <w:contextualSpacing w:val="0"/>
        <w:rPr>
          <w:b/>
          <w:bCs/>
          <w:szCs w:val="22"/>
        </w:rPr>
      </w:pPr>
      <w:r w:rsidRPr="00CA2561">
        <w:rPr>
          <w:b/>
          <w:bCs/>
          <w:szCs w:val="22"/>
        </w:rPr>
        <w:t>Processing Schedule</w:t>
      </w:r>
    </w:p>
    <w:p w:rsidR="0020362E" w:rsidRDefault="0020362E" w:rsidP="0002351E">
      <w:pPr>
        <w:tabs>
          <w:tab w:val="left" w:pos="1800"/>
        </w:tabs>
        <w:spacing w:after="60"/>
        <w:ind w:left="1800" w:hanging="1800"/>
        <w:rPr>
          <w:szCs w:val="22"/>
        </w:rPr>
      </w:pPr>
      <w:r>
        <w:rPr>
          <w:szCs w:val="22"/>
        </w:rPr>
        <w:t>April 9, 2012</w:t>
      </w:r>
      <w:r w:rsidRPr="00CA2561">
        <w:rPr>
          <w:szCs w:val="22"/>
        </w:rPr>
        <w:t>:</w:t>
      </w:r>
      <w:r w:rsidRPr="00CA2561">
        <w:rPr>
          <w:szCs w:val="22"/>
        </w:rPr>
        <w:tab/>
      </w:r>
      <w:r w:rsidR="00746BED">
        <w:rPr>
          <w:szCs w:val="22"/>
        </w:rPr>
        <w:t>Department</w:t>
      </w:r>
      <w:r w:rsidRPr="00CA2561">
        <w:rPr>
          <w:szCs w:val="22"/>
        </w:rPr>
        <w:t xml:space="preserve"> received the application for an ai</w:t>
      </w:r>
      <w:r>
        <w:rPr>
          <w:szCs w:val="22"/>
        </w:rPr>
        <w:t>r pollution construction permit modification.</w:t>
      </w:r>
    </w:p>
    <w:p w:rsidR="00746BED" w:rsidRDefault="00746BED" w:rsidP="0002351E">
      <w:pPr>
        <w:tabs>
          <w:tab w:val="left" w:pos="1800"/>
        </w:tabs>
        <w:spacing w:after="60"/>
        <w:ind w:left="1800" w:hanging="1800"/>
        <w:rPr>
          <w:szCs w:val="22"/>
        </w:rPr>
      </w:pPr>
      <w:r>
        <w:rPr>
          <w:szCs w:val="22"/>
        </w:rPr>
        <w:t>June 7, 2012:</w:t>
      </w:r>
      <w:r>
        <w:rPr>
          <w:szCs w:val="22"/>
        </w:rPr>
        <w:tab/>
        <w:t>Department issued RAI to INBP.</w:t>
      </w:r>
    </w:p>
    <w:p w:rsidR="00746BED" w:rsidRPr="00CA2561" w:rsidRDefault="00746BED" w:rsidP="0002351E">
      <w:pPr>
        <w:tabs>
          <w:tab w:val="left" w:pos="1800"/>
        </w:tabs>
        <w:spacing w:after="60"/>
        <w:ind w:left="1800" w:hanging="1800"/>
        <w:rPr>
          <w:szCs w:val="22"/>
        </w:rPr>
      </w:pPr>
      <w:r>
        <w:rPr>
          <w:szCs w:val="22"/>
        </w:rPr>
        <w:t>June 25, 2012:</w:t>
      </w:r>
      <w:r>
        <w:rPr>
          <w:szCs w:val="22"/>
        </w:rPr>
        <w:tab/>
        <w:t xml:space="preserve">INBP submitted their response to </w:t>
      </w:r>
      <w:r w:rsidR="005C1A14">
        <w:rPr>
          <w:szCs w:val="22"/>
        </w:rPr>
        <w:t>the Department’s RAI; application complete.</w:t>
      </w:r>
    </w:p>
    <w:p w:rsidR="0020362E" w:rsidRPr="00CA2561" w:rsidRDefault="00746BED" w:rsidP="00C60313">
      <w:pPr>
        <w:tabs>
          <w:tab w:val="left" w:pos="1800"/>
        </w:tabs>
        <w:ind w:left="1800" w:hanging="1800"/>
        <w:rPr>
          <w:szCs w:val="22"/>
        </w:rPr>
      </w:pPr>
      <w:r w:rsidRPr="003C7B2F">
        <w:rPr>
          <w:szCs w:val="22"/>
        </w:rPr>
        <w:t xml:space="preserve">July </w:t>
      </w:r>
      <w:r w:rsidR="003C7B2F" w:rsidRPr="003C7B2F">
        <w:rPr>
          <w:szCs w:val="22"/>
        </w:rPr>
        <w:t>11</w:t>
      </w:r>
      <w:r w:rsidRPr="003C7B2F">
        <w:rPr>
          <w:szCs w:val="22"/>
        </w:rPr>
        <w:t>,</w:t>
      </w:r>
      <w:r w:rsidR="0020362E" w:rsidRPr="003C7B2F">
        <w:rPr>
          <w:szCs w:val="22"/>
        </w:rPr>
        <w:t xml:space="preserve"> 2012</w:t>
      </w:r>
      <w:r w:rsidR="0020362E">
        <w:rPr>
          <w:szCs w:val="22"/>
        </w:rPr>
        <w:t>:</w:t>
      </w:r>
      <w:r w:rsidR="0020362E" w:rsidRPr="00CA2561">
        <w:rPr>
          <w:szCs w:val="22"/>
        </w:rPr>
        <w:tab/>
      </w:r>
      <w:r>
        <w:rPr>
          <w:szCs w:val="22"/>
        </w:rPr>
        <w:t xml:space="preserve">Department </w:t>
      </w:r>
      <w:r w:rsidR="0020362E">
        <w:rPr>
          <w:szCs w:val="22"/>
        </w:rPr>
        <w:t>distributed w</w:t>
      </w:r>
      <w:r w:rsidR="0020362E" w:rsidRPr="00CA2561">
        <w:rPr>
          <w:szCs w:val="22"/>
        </w:rPr>
        <w:t>ritten Intent to Issue Air Permit and posted documents.</w:t>
      </w:r>
    </w:p>
    <w:p w:rsidR="0020362E" w:rsidRPr="00BC754D" w:rsidRDefault="0020362E" w:rsidP="0005302D">
      <w:pPr>
        <w:pStyle w:val="ListParagraph"/>
        <w:widowControl w:val="0"/>
        <w:numPr>
          <w:ilvl w:val="0"/>
          <w:numId w:val="3"/>
        </w:numPr>
        <w:ind w:left="720" w:hanging="720"/>
        <w:contextualSpacing w:val="0"/>
        <w:rPr>
          <w:b/>
          <w:szCs w:val="22"/>
        </w:rPr>
      </w:pPr>
      <w:r w:rsidRPr="0009156F">
        <w:rPr>
          <w:b/>
          <w:caps/>
          <w:szCs w:val="22"/>
        </w:rPr>
        <w:t>Applicable Regulations</w:t>
      </w:r>
    </w:p>
    <w:p w:rsidR="0020362E" w:rsidRPr="00CA2561" w:rsidRDefault="0020362E" w:rsidP="0005302D">
      <w:pPr>
        <w:pStyle w:val="ListParagraph"/>
        <w:widowControl w:val="0"/>
        <w:numPr>
          <w:ilvl w:val="1"/>
          <w:numId w:val="3"/>
        </w:numPr>
        <w:ind w:left="720" w:hanging="720"/>
        <w:contextualSpacing w:val="0"/>
        <w:rPr>
          <w:b/>
          <w:szCs w:val="22"/>
        </w:rPr>
      </w:pPr>
      <w:r w:rsidRPr="00CA2561">
        <w:rPr>
          <w:b/>
          <w:szCs w:val="22"/>
        </w:rPr>
        <w:t>State Regulations</w:t>
      </w:r>
    </w:p>
    <w:p w:rsidR="00232A73" w:rsidRDefault="0020362E" w:rsidP="00CB219D">
      <w:pPr>
        <w:rPr>
          <w:szCs w:val="22"/>
        </w:rPr>
      </w:pPr>
      <w:r w:rsidRPr="00CA2561">
        <w:rPr>
          <w:szCs w:val="22"/>
        </w:rPr>
        <w:t>This project is subject to the applicable environmental laws specified in Section 40</w:t>
      </w:r>
      <w:r>
        <w:rPr>
          <w:szCs w:val="22"/>
        </w:rPr>
        <w:t>3 of the Florida Statutes</w:t>
      </w:r>
      <w:r w:rsidR="008F3AE2">
        <w:rPr>
          <w:szCs w:val="22"/>
        </w:rPr>
        <w:t xml:space="preserve"> (F.S.)</w:t>
      </w:r>
      <w:r w:rsidRPr="00CA2561">
        <w:rPr>
          <w:szCs w:val="22"/>
        </w:rPr>
        <w:t xml:space="preserve">.  The </w:t>
      </w:r>
      <w:r>
        <w:rPr>
          <w:szCs w:val="22"/>
        </w:rPr>
        <w:t xml:space="preserve">statutes </w:t>
      </w:r>
      <w:r w:rsidRPr="00CA2561">
        <w:rPr>
          <w:szCs w:val="22"/>
        </w:rPr>
        <w:t xml:space="preserve">authorize </w:t>
      </w:r>
      <w:r>
        <w:rPr>
          <w:szCs w:val="22"/>
        </w:rPr>
        <w:t>DEP</w:t>
      </w:r>
      <w:r w:rsidRPr="00CA2561">
        <w:rPr>
          <w:szCs w:val="22"/>
        </w:rPr>
        <w:t xml:space="preserve"> to establish rules and regulations regarding air quality as part of the </w:t>
      </w:r>
      <w:r w:rsidR="008F3AE2">
        <w:rPr>
          <w:szCs w:val="22"/>
        </w:rPr>
        <w:t>F.A.C</w:t>
      </w:r>
      <w:r>
        <w:rPr>
          <w:szCs w:val="22"/>
        </w:rPr>
        <w:t xml:space="preserve">.  </w:t>
      </w:r>
      <w:r w:rsidRPr="00CA2561">
        <w:rPr>
          <w:szCs w:val="22"/>
        </w:rPr>
        <w:t xml:space="preserve">This project is subject to the applicable rules and regulations defined in the following </w:t>
      </w:r>
      <w:r>
        <w:rPr>
          <w:szCs w:val="22"/>
        </w:rPr>
        <w:t>c</w:t>
      </w:r>
      <w:r w:rsidRPr="00CA2561">
        <w:rPr>
          <w:szCs w:val="22"/>
        </w:rPr>
        <w:t xml:space="preserve">hapters of the </w:t>
      </w:r>
      <w:r>
        <w:rPr>
          <w:szCs w:val="22"/>
        </w:rPr>
        <w:t>F.A.C</w:t>
      </w:r>
      <w:r w:rsidR="00C42E85">
        <w:rPr>
          <w:szCs w:val="22"/>
        </w:rPr>
        <w:t xml:space="preserve"> (see Table 2)</w:t>
      </w:r>
      <w:r w:rsidRPr="00CA2561">
        <w:rPr>
          <w:szCs w:val="22"/>
        </w:rPr>
        <w:t>.</w:t>
      </w:r>
    </w:p>
    <w:p w:rsidR="00C42E85" w:rsidRPr="00C42E85" w:rsidRDefault="00C42E85" w:rsidP="00C42E85">
      <w:pPr>
        <w:rPr>
          <w:b/>
          <w:szCs w:val="22"/>
          <w:u w:val="single"/>
        </w:rPr>
      </w:pPr>
      <w:r w:rsidRPr="00C42E85">
        <w:rPr>
          <w:b/>
          <w:bCs/>
          <w:szCs w:val="22"/>
        </w:rPr>
        <w:t xml:space="preserve">Table </w:t>
      </w:r>
      <w:r>
        <w:rPr>
          <w:b/>
          <w:bCs/>
          <w:szCs w:val="22"/>
        </w:rPr>
        <w:t>2</w:t>
      </w:r>
      <w:r w:rsidRPr="00C42E85">
        <w:rPr>
          <w:b/>
          <w:bCs/>
          <w:szCs w:val="22"/>
        </w:rPr>
        <w:t xml:space="preserve"> – List </w:t>
      </w:r>
      <w:r w:rsidR="00232A73">
        <w:rPr>
          <w:b/>
          <w:bCs/>
          <w:szCs w:val="22"/>
        </w:rPr>
        <w:t>Applicable State Regulations from F.A.C</w:t>
      </w:r>
      <w:r>
        <w:rPr>
          <w:b/>
          <w:bCs/>
          <w:szCs w:val="22"/>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20"/>
        <w:gridCol w:w="7830"/>
      </w:tblGrid>
      <w:tr w:rsidR="00BC754D" w:rsidRPr="00BC754D" w:rsidTr="005A489C">
        <w:trPr>
          <w:trHeight w:val="147"/>
        </w:trPr>
        <w:tc>
          <w:tcPr>
            <w:tcW w:w="1620" w:type="dxa"/>
            <w:shd w:val="clear" w:color="auto" w:fill="DBE5F1" w:themeFill="accent1" w:themeFillTint="33"/>
            <w:vAlign w:val="center"/>
          </w:tcPr>
          <w:p w:rsidR="00BC754D" w:rsidRPr="00BC754D" w:rsidRDefault="00BC754D" w:rsidP="005A489C">
            <w:pPr>
              <w:autoSpaceDE w:val="0"/>
              <w:autoSpaceDN w:val="0"/>
              <w:adjustRightInd w:val="0"/>
              <w:spacing w:before="20" w:after="20"/>
              <w:jc w:val="center"/>
              <w:rPr>
                <w:color w:val="000000"/>
                <w:szCs w:val="22"/>
              </w:rPr>
            </w:pPr>
            <w:r w:rsidRPr="00BC754D">
              <w:rPr>
                <w:b/>
                <w:bCs/>
                <w:color w:val="000000"/>
                <w:szCs w:val="22"/>
              </w:rPr>
              <w:t>Chapter</w:t>
            </w:r>
          </w:p>
        </w:tc>
        <w:tc>
          <w:tcPr>
            <w:tcW w:w="7830" w:type="dxa"/>
            <w:shd w:val="clear" w:color="auto" w:fill="DBE5F1" w:themeFill="accent1" w:themeFillTint="33"/>
            <w:vAlign w:val="center"/>
          </w:tcPr>
          <w:p w:rsidR="00BC754D" w:rsidRPr="00BC754D" w:rsidRDefault="00BC754D" w:rsidP="005A489C">
            <w:pPr>
              <w:autoSpaceDE w:val="0"/>
              <w:autoSpaceDN w:val="0"/>
              <w:adjustRightInd w:val="0"/>
              <w:spacing w:before="20" w:after="20"/>
              <w:jc w:val="center"/>
              <w:rPr>
                <w:color w:val="000000"/>
                <w:szCs w:val="22"/>
              </w:rPr>
            </w:pPr>
            <w:r w:rsidRPr="00BC754D">
              <w:rPr>
                <w:b/>
                <w:bCs/>
                <w:color w:val="000000"/>
                <w:szCs w:val="22"/>
              </w:rPr>
              <w:t>Description</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2" w:history="1">
              <w:r w:rsidR="00BC754D" w:rsidRPr="00BC754D">
                <w:rPr>
                  <w:color w:val="0000FF"/>
                  <w:u w:val="single"/>
                </w:rPr>
                <w:t>62-4</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Permits </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3" w:history="1">
              <w:r w:rsidR="00BC754D" w:rsidRPr="00BC754D">
                <w:rPr>
                  <w:color w:val="0000FF"/>
                  <w:u w:val="single"/>
                </w:rPr>
                <w:t>62-204</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Air Pollution Control – General Provisions </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4" w:history="1">
              <w:r w:rsidR="00BC754D" w:rsidRPr="00BC754D">
                <w:rPr>
                  <w:color w:val="0000FF"/>
                  <w:u w:val="single"/>
                </w:rPr>
                <w:t>62-210</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Stationary Sources of Air Pollution – General Requirements </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5" w:history="1">
              <w:r w:rsidR="00BC754D" w:rsidRPr="00BC754D">
                <w:rPr>
                  <w:color w:val="0000FF"/>
                  <w:u w:val="single"/>
                </w:rPr>
                <w:t>62-212</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Stationary Sources – Preconstruction Review </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6" w:history="1">
              <w:r w:rsidR="00BC754D" w:rsidRPr="00BC754D">
                <w:rPr>
                  <w:color w:val="0000FF"/>
                  <w:u w:val="single"/>
                </w:rPr>
                <w:t>62-213</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Operation Permits for Major Sources (Title V) of Air Pollution </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7" w:history="1">
              <w:r w:rsidR="00BC754D" w:rsidRPr="00BC754D">
                <w:rPr>
                  <w:color w:val="0000FF"/>
                  <w:u w:val="single"/>
                </w:rPr>
                <w:t>62-214</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Requirements for Sources Subject to the Federal (Title IV) Acid Rain Program </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8" w:history="1">
              <w:r w:rsidR="00BC754D" w:rsidRPr="00BC754D">
                <w:rPr>
                  <w:color w:val="0000FF"/>
                  <w:u w:val="single"/>
                </w:rPr>
                <w:t>62-296</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Stationary Sources – Emission Standards </w:t>
            </w:r>
          </w:p>
        </w:tc>
      </w:tr>
      <w:tr w:rsidR="00BC754D" w:rsidRPr="00BC754D" w:rsidTr="005A489C">
        <w:trPr>
          <w:trHeight w:val="145"/>
        </w:trPr>
        <w:tc>
          <w:tcPr>
            <w:tcW w:w="1620" w:type="dxa"/>
            <w:vAlign w:val="center"/>
          </w:tcPr>
          <w:p w:rsidR="00BC754D" w:rsidRPr="00BC754D" w:rsidRDefault="0041503C" w:rsidP="005A489C">
            <w:pPr>
              <w:autoSpaceDE w:val="0"/>
              <w:autoSpaceDN w:val="0"/>
              <w:adjustRightInd w:val="0"/>
              <w:spacing w:before="20" w:after="20"/>
              <w:jc w:val="center"/>
              <w:rPr>
                <w:color w:val="000000"/>
                <w:szCs w:val="22"/>
              </w:rPr>
            </w:pPr>
            <w:hyperlink r:id="rId19" w:history="1">
              <w:r w:rsidR="00BC754D" w:rsidRPr="00BC754D">
                <w:rPr>
                  <w:color w:val="0000FF"/>
                  <w:u w:val="single"/>
                </w:rPr>
                <w:t>62-297</w:t>
              </w:r>
            </w:hyperlink>
          </w:p>
        </w:tc>
        <w:tc>
          <w:tcPr>
            <w:tcW w:w="7830" w:type="dxa"/>
          </w:tcPr>
          <w:p w:rsidR="00BC754D" w:rsidRPr="00BC754D" w:rsidRDefault="00BC754D" w:rsidP="00BC754D">
            <w:pPr>
              <w:autoSpaceDE w:val="0"/>
              <w:autoSpaceDN w:val="0"/>
              <w:adjustRightInd w:val="0"/>
              <w:spacing w:before="20" w:after="20"/>
              <w:rPr>
                <w:color w:val="000000"/>
                <w:szCs w:val="22"/>
              </w:rPr>
            </w:pPr>
            <w:r w:rsidRPr="00BC754D">
              <w:rPr>
                <w:color w:val="000000"/>
                <w:szCs w:val="22"/>
              </w:rPr>
              <w:t xml:space="preserve">Stationary Sources – Emissions Monitoring </w:t>
            </w:r>
          </w:p>
        </w:tc>
      </w:tr>
    </w:tbl>
    <w:p w:rsidR="0020362E" w:rsidRPr="00CA2561" w:rsidRDefault="0020362E" w:rsidP="00BC754D">
      <w:pPr>
        <w:spacing w:before="120"/>
        <w:rPr>
          <w:szCs w:val="22"/>
        </w:rPr>
      </w:pPr>
      <w:r w:rsidRPr="00C42E85">
        <w:rPr>
          <w:b/>
          <w:szCs w:val="22"/>
        </w:rPr>
        <w:t xml:space="preserve">Section 3 </w:t>
      </w:r>
      <w:r>
        <w:rPr>
          <w:szCs w:val="22"/>
        </w:rPr>
        <w:t xml:space="preserve">of this report includes a discussion of </w:t>
      </w:r>
      <w:r w:rsidRPr="00CA2561">
        <w:rPr>
          <w:szCs w:val="22"/>
        </w:rPr>
        <w:t xml:space="preserve">PSD applicability and the preconstruction review requirements of </w:t>
      </w:r>
      <w:r>
        <w:rPr>
          <w:szCs w:val="22"/>
        </w:rPr>
        <w:t>Rule 62-212.400, F.A.C.</w:t>
      </w:r>
      <w:r w:rsidRPr="00CA2561">
        <w:rPr>
          <w:szCs w:val="22"/>
        </w:rPr>
        <w:t xml:space="preserve">  </w:t>
      </w:r>
      <w:r w:rsidRPr="00C42E85">
        <w:rPr>
          <w:b/>
          <w:szCs w:val="22"/>
        </w:rPr>
        <w:t>Section 4</w:t>
      </w:r>
      <w:r>
        <w:rPr>
          <w:szCs w:val="22"/>
        </w:rPr>
        <w:t xml:space="preserve"> contains a</w:t>
      </w:r>
      <w:r w:rsidRPr="00CA2561">
        <w:rPr>
          <w:szCs w:val="22"/>
        </w:rPr>
        <w:t xml:space="preserve">dditional details </w:t>
      </w:r>
      <w:r>
        <w:rPr>
          <w:szCs w:val="22"/>
        </w:rPr>
        <w:t>for</w:t>
      </w:r>
      <w:r w:rsidRPr="00CA2561">
        <w:rPr>
          <w:szCs w:val="22"/>
        </w:rPr>
        <w:t xml:space="preserve"> </w:t>
      </w:r>
      <w:r>
        <w:rPr>
          <w:szCs w:val="22"/>
        </w:rPr>
        <w:t>the</w:t>
      </w:r>
      <w:r w:rsidRPr="00CA2561">
        <w:rPr>
          <w:szCs w:val="22"/>
        </w:rPr>
        <w:t xml:space="preserve"> </w:t>
      </w:r>
      <w:r>
        <w:rPr>
          <w:szCs w:val="22"/>
        </w:rPr>
        <w:t xml:space="preserve">other applicable </w:t>
      </w:r>
      <w:r w:rsidRPr="00CA2561">
        <w:rPr>
          <w:szCs w:val="22"/>
        </w:rPr>
        <w:t>state regul</w:t>
      </w:r>
      <w:r>
        <w:rPr>
          <w:szCs w:val="22"/>
        </w:rPr>
        <w:t>ations</w:t>
      </w:r>
      <w:r w:rsidRPr="00CA2561">
        <w:rPr>
          <w:szCs w:val="22"/>
        </w:rPr>
        <w:t>.</w:t>
      </w:r>
    </w:p>
    <w:p w:rsidR="0020362E" w:rsidRPr="00CA2561" w:rsidRDefault="0020362E" w:rsidP="0005302D">
      <w:pPr>
        <w:pStyle w:val="ListParagraph"/>
        <w:widowControl w:val="0"/>
        <w:numPr>
          <w:ilvl w:val="1"/>
          <w:numId w:val="3"/>
        </w:numPr>
        <w:ind w:left="720" w:hanging="720"/>
        <w:contextualSpacing w:val="0"/>
        <w:rPr>
          <w:b/>
          <w:szCs w:val="22"/>
        </w:rPr>
      </w:pPr>
      <w:r w:rsidRPr="00CA2561">
        <w:rPr>
          <w:b/>
          <w:szCs w:val="22"/>
        </w:rPr>
        <w:t>Federal Regulations</w:t>
      </w:r>
    </w:p>
    <w:p w:rsidR="0020362E" w:rsidRPr="00CA2561" w:rsidRDefault="0020362E" w:rsidP="00CB219D">
      <w:pPr>
        <w:rPr>
          <w:szCs w:val="22"/>
        </w:rPr>
      </w:pPr>
      <w:r w:rsidRPr="00CA2561">
        <w:rPr>
          <w:szCs w:val="22"/>
        </w:rPr>
        <w:t xml:space="preserve">The U.S. Environmental Protection Agency (EPA) establishes air quality regulations in </w:t>
      </w:r>
      <w:r w:rsidR="00C42E85">
        <w:rPr>
          <w:szCs w:val="22"/>
        </w:rPr>
        <w:t xml:space="preserve">40 CFR </w:t>
      </w:r>
      <w:r w:rsidRPr="00CA2561">
        <w:rPr>
          <w:szCs w:val="22"/>
        </w:rPr>
        <w:t xml:space="preserve">60 </w:t>
      </w:r>
      <w:r w:rsidR="00C42E85">
        <w:rPr>
          <w:szCs w:val="22"/>
        </w:rPr>
        <w:t xml:space="preserve">that </w:t>
      </w:r>
      <w:r w:rsidRPr="00CA2561">
        <w:rPr>
          <w:szCs w:val="22"/>
        </w:rPr>
        <w:t xml:space="preserve">identifies NSPS for a variety of industrial activities.  Part 61 specifies NESHAP based on specific pollutants.  Part 63 specifies NESHAP provisions based on the Maximum Achievable Control Technology (MACT) for given source categories.  </w:t>
      </w:r>
      <w:r>
        <w:rPr>
          <w:szCs w:val="22"/>
        </w:rPr>
        <w:t>Florida adopts these f</w:t>
      </w:r>
      <w:r w:rsidRPr="00CA2561">
        <w:rPr>
          <w:szCs w:val="22"/>
        </w:rPr>
        <w:t>ederal regulations in Rule 62-204.800, F.A.C.</w:t>
      </w:r>
      <w:r>
        <w:rPr>
          <w:szCs w:val="22"/>
        </w:rPr>
        <w:t>, and stationary sources in Florida are required to comply with the adopted federal regulations as per Subsection 62-296.100(3), F.A.C.</w:t>
      </w:r>
      <w:r w:rsidRPr="00CA2561">
        <w:rPr>
          <w:szCs w:val="22"/>
        </w:rPr>
        <w:t xml:space="preserve">  </w:t>
      </w:r>
      <w:r w:rsidRPr="00C42E85">
        <w:rPr>
          <w:b/>
          <w:szCs w:val="22"/>
        </w:rPr>
        <w:t>Section 4</w:t>
      </w:r>
      <w:r>
        <w:rPr>
          <w:szCs w:val="22"/>
        </w:rPr>
        <w:t xml:space="preserve"> of this report contains a</w:t>
      </w:r>
      <w:r w:rsidRPr="00CA2561">
        <w:rPr>
          <w:szCs w:val="22"/>
        </w:rPr>
        <w:t xml:space="preserve">dditional details </w:t>
      </w:r>
      <w:r>
        <w:rPr>
          <w:szCs w:val="22"/>
        </w:rPr>
        <w:t>for</w:t>
      </w:r>
      <w:r w:rsidRPr="00CA2561">
        <w:rPr>
          <w:szCs w:val="22"/>
        </w:rPr>
        <w:t xml:space="preserve"> the applicable federal regul</w:t>
      </w:r>
      <w:r>
        <w:rPr>
          <w:szCs w:val="22"/>
        </w:rPr>
        <w:t>ations</w:t>
      </w:r>
      <w:r w:rsidRPr="00CA2561">
        <w:rPr>
          <w:szCs w:val="22"/>
        </w:rPr>
        <w:t>.</w:t>
      </w:r>
    </w:p>
    <w:p w:rsidR="0020362E" w:rsidRPr="00C42E85" w:rsidRDefault="0020362E" w:rsidP="0005302D">
      <w:pPr>
        <w:pStyle w:val="ListParagraph"/>
        <w:widowControl w:val="0"/>
        <w:numPr>
          <w:ilvl w:val="0"/>
          <w:numId w:val="3"/>
        </w:numPr>
        <w:ind w:left="720" w:hanging="720"/>
        <w:contextualSpacing w:val="0"/>
        <w:rPr>
          <w:b/>
          <w:szCs w:val="22"/>
        </w:rPr>
      </w:pPr>
      <w:r w:rsidRPr="00CA2561">
        <w:rPr>
          <w:b/>
          <w:caps/>
          <w:szCs w:val="22"/>
        </w:rPr>
        <w:t>PSD Applicability Review</w:t>
      </w:r>
    </w:p>
    <w:p w:rsidR="0020362E" w:rsidRPr="00CA2561" w:rsidRDefault="0020362E" w:rsidP="0005302D">
      <w:pPr>
        <w:pStyle w:val="ListParagraph"/>
        <w:widowControl w:val="0"/>
        <w:numPr>
          <w:ilvl w:val="1"/>
          <w:numId w:val="3"/>
        </w:numPr>
        <w:ind w:left="720" w:hanging="720"/>
        <w:contextualSpacing w:val="0"/>
        <w:rPr>
          <w:b/>
          <w:szCs w:val="22"/>
        </w:rPr>
      </w:pPr>
      <w:r w:rsidRPr="00CA2561">
        <w:rPr>
          <w:b/>
          <w:szCs w:val="22"/>
        </w:rPr>
        <w:t>General PSD Applicability</w:t>
      </w:r>
    </w:p>
    <w:p w:rsidR="00C42E85" w:rsidRPr="00C42E85" w:rsidRDefault="00C42E85" w:rsidP="00C42E85">
      <w:pPr>
        <w:widowControl w:val="0"/>
        <w:rPr>
          <w:rFonts w:eastAsia="Calibri"/>
          <w:szCs w:val="22"/>
        </w:rPr>
      </w:pPr>
      <w:r w:rsidRPr="00C42E85">
        <w:rPr>
          <w:rFonts w:eastAsia="Calibri"/>
          <w:szCs w:val="22"/>
        </w:rPr>
        <w:t xml:space="preserve">The Department regulates major stationary sources in accordance with Florida’s PSD program pursuant to Rule 62-212.400, F.A.C.  PSD preconstruction review is required in areas that are currently in attainment with the state and federal ambient air quality standards (AAQS) or areas designated as “unclassifiable” for these regulated pollutants.  </w:t>
      </w:r>
    </w:p>
    <w:p w:rsidR="00C42E85" w:rsidRPr="00C42E85" w:rsidRDefault="00C42E85" w:rsidP="00C42E85">
      <w:pPr>
        <w:widowControl w:val="0"/>
        <w:rPr>
          <w:rFonts w:eastAsia="Calibri"/>
          <w:szCs w:val="22"/>
        </w:rPr>
      </w:pPr>
      <w:r w:rsidRPr="00C42E85">
        <w:rPr>
          <w:rFonts w:eastAsia="Calibri"/>
          <w:szCs w:val="22"/>
        </w:rPr>
        <w:t xml:space="preserve">Commonly addressed PSD pollutants in the power industry include: </w:t>
      </w:r>
      <w:r>
        <w:rPr>
          <w:rFonts w:eastAsia="Calibri"/>
          <w:szCs w:val="22"/>
        </w:rPr>
        <w:t>carbon monoxide (</w:t>
      </w:r>
      <w:r w:rsidRPr="00C42E85">
        <w:rPr>
          <w:rFonts w:eastAsia="Calibri"/>
          <w:szCs w:val="22"/>
        </w:rPr>
        <w:t>CO</w:t>
      </w:r>
      <w:r>
        <w:rPr>
          <w:rFonts w:eastAsia="Calibri"/>
          <w:szCs w:val="22"/>
        </w:rPr>
        <w:t>)</w:t>
      </w:r>
      <w:r w:rsidRPr="00C42E85">
        <w:rPr>
          <w:rFonts w:eastAsia="Calibri"/>
          <w:szCs w:val="22"/>
        </w:rPr>
        <w:t xml:space="preserve">, </w:t>
      </w:r>
      <w:r>
        <w:rPr>
          <w:rFonts w:eastAsia="Calibri"/>
          <w:szCs w:val="22"/>
        </w:rPr>
        <w:t>nitrogen oxide (</w:t>
      </w:r>
      <w:r w:rsidRPr="00C42E85">
        <w:rPr>
          <w:rFonts w:eastAsia="Calibri"/>
          <w:szCs w:val="22"/>
        </w:rPr>
        <w:t>NO</w:t>
      </w:r>
      <w:r w:rsidRPr="00C42E85">
        <w:rPr>
          <w:rFonts w:eastAsia="Calibri"/>
          <w:szCs w:val="22"/>
          <w:vertAlign w:val="subscript"/>
        </w:rPr>
        <w:t>X</w:t>
      </w:r>
      <w:r>
        <w:rPr>
          <w:rFonts w:eastAsia="Calibri"/>
          <w:szCs w:val="22"/>
        </w:rPr>
        <w:t>),</w:t>
      </w:r>
      <w:r w:rsidRPr="00C42E85">
        <w:rPr>
          <w:rFonts w:eastAsia="Calibri"/>
          <w:szCs w:val="22"/>
        </w:rPr>
        <w:t xml:space="preserve"> </w:t>
      </w:r>
      <w:r>
        <w:rPr>
          <w:rFonts w:eastAsia="Calibri"/>
          <w:szCs w:val="22"/>
        </w:rPr>
        <w:t>particulate matter (</w:t>
      </w:r>
      <w:r w:rsidRPr="00C42E85">
        <w:rPr>
          <w:rFonts w:eastAsia="Calibri"/>
          <w:szCs w:val="22"/>
        </w:rPr>
        <w:t>PM</w:t>
      </w:r>
      <w:r>
        <w:rPr>
          <w:rFonts w:eastAsia="Calibri"/>
          <w:szCs w:val="22"/>
        </w:rPr>
        <w:t>)</w:t>
      </w:r>
      <w:r w:rsidRPr="00C42E85">
        <w:rPr>
          <w:rFonts w:eastAsia="Calibri"/>
          <w:szCs w:val="22"/>
        </w:rPr>
        <w:t>, PM smaller than 10 micrometers (µm) (PM</w:t>
      </w:r>
      <w:r w:rsidRPr="00C42E85">
        <w:rPr>
          <w:rFonts w:eastAsia="Calibri"/>
          <w:szCs w:val="22"/>
          <w:vertAlign w:val="subscript"/>
        </w:rPr>
        <w:t>10</w:t>
      </w:r>
      <w:r w:rsidRPr="00C42E85">
        <w:rPr>
          <w:rFonts w:eastAsia="Calibri"/>
          <w:szCs w:val="22"/>
        </w:rPr>
        <w:t xml:space="preserve">), PM smaller than 2.5 </w:t>
      </w:r>
      <w:r w:rsidRPr="00C42E85">
        <w:rPr>
          <w:rFonts w:eastAsia="Calibri"/>
          <w:szCs w:val="22"/>
        </w:rPr>
        <w:lastRenderedPageBreak/>
        <w:t>µm (PM</w:t>
      </w:r>
      <w:r w:rsidRPr="00C42E85">
        <w:rPr>
          <w:rFonts w:eastAsia="Calibri"/>
          <w:szCs w:val="22"/>
          <w:vertAlign w:val="subscript"/>
        </w:rPr>
        <w:t>2.5</w:t>
      </w:r>
      <w:r w:rsidRPr="00C42E85">
        <w:rPr>
          <w:rFonts w:eastAsia="Calibri"/>
          <w:szCs w:val="22"/>
        </w:rPr>
        <w:t>), SO</w:t>
      </w:r>
      <w:r w:rsidRPr="00C42E85">
        <w:rPr>
          <w:rFonts w:eastAsia="Calibri"/>
          <w:szCs w:val="22"/>
          <w:vertAlign w:val="subscript"/>
        </w:rPr>
        <w:t>2</w:t>
      </w:r>
      <w:r w:rsidRPr="00C42E85">
        <w:rPr>
          <w:rFonts w:eastAsia="Calibri"/>
          <w:szCs w:val="22"/>
        </w:rPr>
        <w:t xml:space="preserve">, </w:t>
      </w:r>
      <w:r>
        <w:rPr>
          <w:rFonts w:eastAsia="Calibri"/>
          <w:szCs w:val="22"/>
        </w:rPr>
        <w:t>volatile organic compounds (</w:t>
      </w:r>
      <w:r w:rsidRPr="00C42E85">
        <w:rPr>
          <w:rFonts w:eastAsia="Calibri"/>
          <w:szCs w:val="22"/>
        </w:rPr>
        <w:t>VOC</w:t>
      </w:r>
      <w:r>
        <w:rPr>
          <w:rFonts w:eastAsia="Calibri"/>
          <w:szCs w:val="22"/>
        </w:rPr>
        <w:t>)</w:t>
      </w:r>
      <w:r w:rsidRPr="00C42E85">
        <w:rPr>
          <w:rFonts w:eastAsia="Calibri"/>
          <w:szCs w:val="22"/>
        </w:rPr>
        <w:t xml:space="preserve">, </w:t>
      </w:r>
      <w:r>
        <w:rPr>
          <w:rFonts w:eastAsia="Calibri"/>
          <w:szCs w:val="22"/>
        </w:rPr>
        <w:t>sulfuric acid mist (</w:t>
      </w:r>
      <w:r w:rsidRPr="00C42E85">
        <w:rPr>
          <w:rFonts w:eastAsia="Calibri"/>
          <w:szCs w:val="22"/>
        </w:rPr>
        <w:t>SAM</w:t>
      </w:r>
      <w:r>
        <w:rPr>
          <w:rFonts w:eastAsia="Calibri"/>
          <w:szCs w:val="22"/>
        </w:rPr>
        <w:t>)</w:t>
      </w:r>
      <w:r w:rsidRPr="00C42E85">
        <w:rPr>
          <w:rFonts w:eastAsia="Calibri"/>
          <w:szCs w:val="22"/>
        </w:rPr>
        <w:t xml:space="preserve">, lead (Pb), fluorides (F), and mercury (Hg).  </w:t>
      </w:r>
    </w:p>
    <w:p w:rsidR="00C42E85" w:rsidRPr="00C42E85" w:rsidRDefault="00C42E85" w:rsidP="00C42E85">
      <w:pPr>
        <w:widowControl w:val="0"/>
        <w:rPr>
          <w:rFonts w:eastAsia="Calibri"/>
          <w:szCs w:val="22"/>
        </w:rPr>
      </w:pPr>
      <w:r w:rsidRPr="00C42E85">
        <w:rPr>
          <w:rFonts w:eastAsia="Calibri"/>
          <w:szCs w:val="22"/>
        </w:rPr>
        <w:t>Additional PSD pollutants that are more common to certain other industries include: hydrogen sulfide (H</w:t>
      </w:r>
      <w:r w:rsidRPr="00C42E85">
        <w:rPr>
          <w:rFonts w:eastAsia="Calibri"/>
          <w:szCs w:val="22"/>
          <w:vertAlign w:val="subscript"/>
        </w:rPr>
        <w:t>2</w:t>
      </w:r>
      <w:r w:rsidRPr="00C42E85">
        <w:rPr>
          <w:rFonts w:eastAsia="Calibri"/>
          <w:szCs w:val="22"/>
        </w:rPr>
        <w:t>S), TRS including H</w:t>
      </w:r>
      <w:r w:rsidRPr="00C42E85">
        <w:rPr>
          <w:rFonts w:eastAsia="Calibri"/>
          <w:szCs w:val="22"/>
          <w:vertAlign w:val="subscript"/>
        </w:rPr>
        <w:t>2</w:t>
      </w:r>
      <w:r w:rsidRPr="00C42E85">
        <w:rPr>
          <w:rFonts w:eastAsia="Calibri"/>
          <w:szCs w:val="22"/>
        </w:rPr>
        <w:t>S, reduced sulfur compounds (RSC) including H</w:t>
      </w:r>
      <w:r w:rsidRPr="00C42E85">
        <w:rPr>
          <w:rFonts w:eastAsia="Calibri"/>
          <w:szCs w:val="22"/>
          <w:vertAlign w:val="subscript"/>
        </w:rPr>
        <w:t>2</w:t>
      </w:r>
      <w:r w:rsidRPr="00C42E85">
        <w:rPr>
          <w:rFonts w:eastAsia="Calibri"/>
          <w:szCs w:val="22"/>
        </w:rPr>
        <w:t>S, municipal waste combustor (MWC) organics measured as total tetra- through octa-chlorinated dibenzo-p-dioxins and dibenzofurans (dioxin/furan), MWC metals measured as PM; MWC acid gases measured as SO</w:t>
      </w:r>
      <w:r w:rsidRPr="00C42E85">
        <w:rPr>
          <w:rFonts w:eastAsia="Calibri"/>
          <w:szCs w:val="22"/>
          <w:vertAlign w:val="subscript"/>
        </w:rPr>
        <w:t>2</w:t>
      </w:r>
      <w:r w:rsidRPr="00C42E85">
        <w:rPr>
          <w:rFonts w:eastAsia="Calibri"/>
          <w:szCs w:val="22"/>
        </w:rPr>
        <w:t xml:space="preserve"> and HCl, and municipal solid waste (</w:t>
      </w:r>
      <w:r w:rsidRPr="00C42E85">
        <w:rPr>
          <w:szCs w:val="22"/>
        </w:rPr>
        <w:t>MSW) landfill emissions as non-methane organic compounds (NMOC)</w:t>
      </w:r>
      <w:r w:rsidRPr="00C42E85">
        <w:rPr>
          <w:rFonts w:eastAsia="Calibri"/>
          <w:szCs w:val="22"/>
        </w:rPr>
        <w:t xml:space="preserve">.  </w:t>
      </w:r>
    </w:p>
    <w:p w:rsidR="00C42E85" w:rsidRPr="00C42E85" w:rsidRDefault="00C42E85" w:rsidP="00C42E85">
      <w:pPr>
        <w:autoSpaceDE w:val="0"/>
        <w:autoSpaceDN w:val="0"/>
        <w:adjustRightInd w:val="0"/>
        <w:spacing w:after="60"/>
        <w:rPr>
          <w:color w:val="000000"/>
          <w:szCs w:val="22"/>
        </w:rPr>
      </w:pPr>
      <w:r w:rsidRPr="00C42E85">
        <w:rPr>
          <w:rFonts w:eastAsia="Calibri"/>
          <w:color w:val="000000"/>
          <w:szCs w:val="22"/>
        </w:rPr>
        <w:t xml:space="preserve">As defined in Rule 62-210.200(189)(a)1, F.A.C., </w:t>
      </w:r>
      <w:r w:rsidRPr="00C42E85">
        <w:rPr>
          <w:color w:val="000000"/>
          <w:szCs w:val="22"/>
        </w:rPr>
        <w:t>a stationary source is a “major stationary source” (major PSD source) if it emits or has the potential to emit (PTE):</w:t>
      </w:r>
    </w:p>
    <w:p w:rsidR="00C42E85" w:rsidRPr="00C42E85" w:rsidRDefault="00C42E85" w:rsidP="0005302D">
      <w:pPr>
        <w:numPr>
          <w:ilvl w:val="0"/>
          <w:numId w:val="7"/>
        </w:numPr>
        <w:autoSpaceDE w:val="0"/>
        <w:autoSpaceDN w:val="0"/>
        <w:adjustRightInd w:val="0"/>
        <w:spacing w:after="60"/>
        <w:ind w:left="360"/>
        <w:rPr>
          <w:rFonts w:eastAsia="Calibri"/>
          <w:color w:val="000000"/>
          <w:szCs w:val="22"/>
        </w:rPr>
      </w:pPr>
      <w:r w:rsidRPr="00C42E85">
        <w:rPr>
          <w:color w:val="000000"/>
          <w:szCs w:val="22"/>
        </w:rPr>
        <w:t xml:space="preserve">250 </w:t>
      </w:r>
      <w:r w:rsidR="008F3AE2">
        <w:rPr>
          <w:color w:val="000000"/>
          <w:szCs w:val="22"/>
        </w:rPr>
        <w:t>TPY</w:t>
      </w:r>
      <w:r w:rsidRPr="00C42E85">
        <w:rPr>
          <w:color w:val="000000"/>
          <w:szCs w:val="22"/>
        </w:rPr>
        <w:t xml:space="preserve"> or more of any PSD pollutant; </w:t>
      </w:r>
      <w:r w:rsidRPr="00C42E85">
        <w:rPr>
          <w:color w:val="000000"/>
          <w:szCs w:val="22"/>
          <w:u w:val="single"/>
        </w:rPr>
        <w:t>or</w:t>
      </w:r>
      <w:r w:rsidRPr="00C42E85">
        <w:rPr>
          <w:color w:val="000000"/>
          <w:szCs w:val="22"/>
        </w:rPr>
        <w:t xml:space="preserve"> </w:t>
      </w:r>
    </w:p>
    <w:p w:rsidR="00F22527" w:rsidRDefault="00C42E85" w:rsidP="00C42E85">
      <w:pPr>
        <w:widowControl w:val="0"/>
        <w:numPr>
          <w:ilvl w:val="0"/>
          <w:numId w:val="7"/>
        </w:numPr>
        <w:autoSpaceDE w:val="0"/>
        <w:autoSpaceDN w:val="0"/>
        <w:adjustRightInd w:val="0"/>
        <w:ind w:left="360"/>
        <w:rPr>
          <w:rFonts w:eastAsia="Calibri"/>
          <w:color w:val="000000"/>
          <w:szCs w:val="22"/>
        </w:rPr>
      </w:pPr>
      <w:r w:rsidRPr="00F22527">
        <w:rPr>
          <w:color w:val="000000"/>
          <w:szCs w:val="22"/>
        </w:rPr>
        <w:t xml:space="preserve">100 </w:t>
      </w:r>
      <w:r w:rsidR="008F3AE2">
        <w:rPr>
          <w:color w:val="000000"/>
          <w:szCs w:val="22"/>
        </w:rPr>
        <w:t>TPY</w:t>
      </w:r>
      <w:r w:rsidRPr="00F22527">
        <w:rPr>
          <w:color w:val="000000"/>
          <w:szCs w:val="22"/>
        </w:rPr>
        <w:t xml:space="preserve"> or more of any PSD pollutant </w:t>
      </w:r>
      <w:r w:rsidRPr="00F22527">
        <w:rPr>
          <w:color w:val="000000"/>
          <w:szCs w:val="22"/>
          <w:u w:val="single"/>
        </w:rPr>
        <w:t>and</w:t>
      </w:r>
      <w:r w:rsidRPr="00F22527">
        <w:rPr>
          <w:color w:val="000000"/>
          <w:szCs w:val="22"/>
        </w:rPr>
        <w:t xml:space="preserve"> the facility belongs to one of the 28 listed PSD major facility categories.  </w:t>
      </w:r>
    </w:p>
    <w:p w:rsidR="00232A73" w:rsidRPr="00F22527" w:rsidRDefault="0005302D" w:rsidP="00F22527">
      <w:pPr>
        <w:widowControl w:val="0"/>
        <w:autoSpaceDE w:val="0"/>
        <w:autoSpaceDN w:val="0"/>
        <w:adjustRightInd w:val="0"/>
        <w:rPr>
          <w:rFonts w:eastAsia="Calibri"/>
          <w:szCs w:val="22"/>
        </w:rPr>
      </w:pPr>
      <w:r w:rsidRPr="00F22527">
        <w:rPr>
          <w:rFonts w:eastAsia="Calibri"/>
          <w:szCs w:val="22"/>
        </w:rPr>
        <w:t xml:space="preserve">See </w:t>
      </w:r>
      <w:r w:rsidRPr="00F22527">
        <w:rPr>
          <w:rFonts w:eastAsia="Calibri"/>
          <w:b/>
          <w:szCs w:val="22"/>
        </w:rPr>
        <w:t>Subsection 3.2</w:t>
      </w:r>
      <w:r w:rsidRPr="00F22527">
        <w:rPr>
          <w:rFonts w:eastAsia="Calibri"/>
          <w:szCs w:val="22"/>
        </w:rPr>
        <w:t xml:space="preserve"> below for an analysis of PSD applicability for this permit modification project.</w:t>
      </w:r>
    </w:p>
    <w:p w:rsidR="0020362E" w:rsidRPr="00CA2561" w:rsidRDefault="0020362E" w:rsidP="002537FD">
      <w:pPr>
        <w:pStyle w:val="ListParagraph"/>
        <w:widowControl w:val="0"/>
        <w:numPr>
          <w:ilvl w:val="1"/>
          <w:numId w:val="3"/>
        </w:numPr>
        <w:ind w:left="720" w:hanging="720"/>
        <w:contextualSpacing w:val="0"/>
        <w:rPr>
          <w:b/>
          <w:szCs w:val="22"/>
        </w:rPr>
      </w:pPr>
      <w:r w:rsidRPr="00CA2561">
        <w:rPr>
          <w:b/>
          <w:szCs w:val="22"/>
        </w:rPr>
        <w:t xml:space="preserve">PSD Applicability for the </w:t>
      </w:r>
      <w:r w:rsidR="002537FD">
        <w:rPr>
          <w:b/>
          <w:szCs w:val="22"/>
        </w:rPr>
        <w:t xml:space="preserve">Modification </w:t>
      </w:r>
      <w:r w:rsidRPr="00CA2561">
        <w:rPr>
          <w:b/>
          <w:szCs w:val="22"/>
        </w:rPr>
        <w:t>Project</w:t>
      </w:r>
    </w:p>
    <w:p w:rsidR="0020362E" w:rsidRPr="002537FD" w:rsidRDefault="0020362E" w:rsidP="002537FD">
      <w:pPr>
        <w:pStyle w:val="ListParagraph"/>
        <w:widowControl w:val="0"/>
        <w:numPr>
          <w:ilvl w:val="2"/>
          <w:numId w:val="3"/>
        </w:numPr>
        <w:ind w:left="0" w:firstLine="0"/>
        <w:contextualSpacing w:val="0"/>
        <w:rPr>
          <w:b/>
          <w:szCs w:val="22"/>
        </w:rPr>
      </w:pPr>
      <w:r>
        <w:rPr>
          <w:szCs w:val="22"/>
          <w:u w:val="single"/>
        </w:rPr>
        <w:t>Applicant's Analysis</w:t>
      </w:r>
      <w:r w:rsidR="002537FD" w:rsidRPr="002537FD">
        <w:rPr>
          <w:szCs w:val="22"/>
        </w:rPr>
        <w:t>:</w:t>
      </w:r>
      <w:r>
        <w:rPr>
          <w:szCs w:val="22"/>
        </w:rPr>
        <w:t xml:space="preserve">  The INPB project is to be</w:t>
      </w:r>
      <w:r w:rsidRPr="00A21062">
        <w:rPr>
          <w:szCs w:val="22"/>
        </w:rPr>
        <w:t xml:space="preserve"> located in </w:t>
      </w:r>
      <w:r>
        <w:rPr>
          <w:szCs w:val="22"/>
        </w:rPr>
        <w:t xml:space="preserve">Indian River </w:t>
      </w:r>
      <w:r w:rsidRPr="00A21062">
        <w:rPr>
          <w:szCs w:val="22"/>
        </w:rPr>
        <w:t xml:space="preserve">County, which is currently in attainment </w:t>
      </w:r>
      <w:r>
        <w:rPr>
          <w:szCs w:val="22"/>
        </w:rPr>
        <w:t>(</w:t>
      </w:r>
      <w:r w:rsidRPr="00AC7FEB">
        <w:rPr>
          <w:szCs w:val="22"/>
        </w:rPr>
        <w:t>or otherwise designated as unclassifiable</w:t>
      </w:r>
      <w:r>
        <w:rPr>
          <w:szCs w:val="22"/>
        </w:rPr>
        <w:t xml:space="preserve">) </w:t>
      </w:r>
      <w:r w:rsidRPr="00A21062">
        <w:rPr>
          <w:szCs w:val="22"/>
        </w:rPr>
        <w:t xml:space="preserve">with </w:t>
      </w:r>
      <w:r>
        <w:rPr>
          <w:szCs w:val="22"/>
        </w:rPr>
        <w:t>respect to the AAQS</w:t>
      </w:r>
      <w:r w:rsidRPr="00A21062">
        <w:rPr>
          <w:szCs w:val="22"/>
        </w:rPr>
        <w:t>.  The facility is a chemical process plant, which is one of the 28 listed categories</w:t>
      </w:r>
      <w:r>
        <w:rPr>
          <w:szCs w:val="22"/>
        </w:rPr>
        <w:t xml:space="preserve"> of stationary sources, so the threshold of 100 TPY applies.  The applicant has proposed certain operation and emissions limitations to limit the facility's potential to emit to less than 100 TPY for the PSD pollutants expected to be emitted above </w:t>
      </w:r>
      <w:r w:rsidRPr="00381AD5">
        <w:rPr>
          <w:i/>
          <w:szCs w:val="22"/>
        </w:rPr>
        <w:t>de minimis</w:t>
      </w:r>
      <w:r>
        <w:rPr>
          <w:szCs w:val="22"/>
        </w:rPr>
        <w:t xml:space="preserve"> amounts.  </w:t>
      </w:r>
      <w:r w:rsidRPr="00A21062">
        <w:rPr>
          <w:szCs w:val="22"/>
        </w:rPr>
        <w:t xml:space="preserve">Therefore, </w:t>
      </w:r>
      <w:r w:rsidR="00232A73">
        <w:rPr>
          <w:szCs w:val="22"/>
        </w:rPr>
        <w:t xml:space="preserve">according to the applicant, </w:t>
      </w:r>
      <w:r w:rsidRPr="00A21062">
        <w:rPr>
          <w:szCs w:val="22"/>
        </w:rPr>
        <w:t xml:space="preserve">the facility is </w:t>
      </w:r>
      <w:r>
        <w:rPr>
          <w:szCs w:val="22"/>
        </w:rPr>
        <w:t xml:space="preserve">not a new </w:t>
      </w:r>
      <w:r w:rsidRPr="00A21062">
        <w:rPr>
          <w:szCs w:val="22"/>
        </w:rPr>
        <w:t>major stationary source</w:t>
      </w:r>
      <w:r>
        <w:rPr>
          <w:szCs w:val="22"/>
        </w:rPr>
        <w:t>,</w:t>
      </w:r>
      <w:r w:rsidRPr="00A21062">
        <w:rPr>
          <w:szCs w:val="22"/>
        </w:rPr>
        <w:t xml:space="preserve"> and the </w:t>
      </w:r>
      <w:r>
        <w:rPr>
          <w:szCs w:val="22"/>
        </w:rPr>
        <w:t xml:space="preserve">facility is not </w:t>
      </w:r>
      <w:r w:rsidRPr="00A21062">
        <w:rPr>
          <w:szCs w:val="22"/>
        </w:rPr>
        <w:t xml:space="preserve">subject to </w:t>
      </w:r>
      <w:r>
        <w:rPr>
          <w:szCs w:val="22"/>
        </w:rPr>
        <w:t>PSD preconstruction review</w:t>
      </w:r>
      <w:r w:rsidRPr="00A21062">
        <w:rPr>
          <w:szCs w:val="22"/>
        </w:rPr>
        <w:t>.</w:t>
      </w:r>
    </w:p>
    <w:p w:rsidR="00181E80" w:rsidRDefault="00181E80" w:rsidP="00181E80">
      <w:pPr>
        <w:spacing w:after="0"/>
        <w:rPr>
          <w:b/>
          <w:szCs w:val="22"/>
        </w:rPr>
      </w:pPr>
      <w:r w:rsidRPr="00BD1ABC">
        <w:rPr>
          <w:b/>
          <w:szCs w:val="22"/>
        </w:rPr>
        <w:t xml:space="preserve">Table </w:t>
      </w:r>
      <w:r>
        <w:rPr>
          <w:b/>
          <w:szCs w:val="22"/>
        </w:rPr>
        <w:t>3</w:t>
      </w:r>
      <w:r w:rsidRPr="00BD1ABC">
        <w:rPr>
          <w:b/>
          <w:szCs w:val="22"/>
        </w:rPr>
        <w:t xml:space="preserve"> – Summary of the Applicant's PSD Applicability Analysis.</w:t>
      </w:r>
    </w:p>
    <w:p w:rsidR="00181E80" w:rsidRDefault="00181E80" w:rsidP="00181E80">
      <w:pPr>
        <w:spacing w:after="0"/>
        <w:ind w:left="-1080"/>
        <w:rPr>
          <w:sz w:val="16"/>
          <w:szCs w:val="16"/>
        </w:rPr>
      </w:pPr>
    </w:p>
    <w:tbl>
      <w:tblPr>
        <w:tblW w:w="9270" w:type="dxa"/>
        <w:tblInd w:w="108" w:type="dxa"/>
        <w:tblLook w:val="04A0"/>
      </w:tblPr>
      <w:tblGrid>
        <w:gridCol w:w="1890"/>
        <w:gridCol w:w="900"/>
        <w:gridCol w:w="720"/>
        <w:gridCol w:w="900"/>
        <w:gridCol w:w="630"/>
        <w:gridCol w:w="900"/>
        <w:gridCol w:w="900"/>
        <w:gridCol w:w="900"/>
        <w:gridCol w:w="900"/>
        <w:gridCol w:w="630"/>
      </w:tblGrid>
      <w:tr w:rsidR="00181E80" w:rsidRPr="00C6068E" w:rsidTr="008C6488">
        <w:trPr>
          <w:trHeight w:val="285"/>
        </w:trPr>
        <w:tc>
          <w:tcPr>
            <w:tcW w:w="189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181E80" w:rsidRPr="00C6068E" w:rsidRDefault="00181E80" w:rsidP="008C6488">
            <w:pPr>
              <w:spacing w:after="0"/>
              <w:jc w:val="center"/>
              <w:rPr>
                <w:color w:val="000000"/>
                <w:sz w:val="18"/>
                <w:szCs w:val="18"/>
              </w:rPr>
            </w:pPr>
          </w:p>
        </w:tc>
        <w:tc>
          <w:tcPr>
            <w:tcW w:w="7380" w:type="dxa"/>
            <w:gridSpan w:val="9"/>
            <w:tcBorders>
              <w:top w:val="single" w:sz="4" w:space="0" w:color="auto"/>
              <w:left w:val="nil"/>
              <w:bottom w:val="single" w:sz="4" w:space="0" w:color="auto"/>
              <w:right w:val="single" w:sz="4" w:space="0" w:color="000000"/>
            </w:tcBorders>
            <w:shd w:val="clear" w:color="auto" w:fill="DBE5F1" w:themeFill="accent1" w:themeFillTint="33"/>
            <w:noWrap/>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Annual Emissions (</w:t>
            </w:r>
            <w:r>
              <w:rPr>
                <w:b/>
                <w:bCs/>
                <w:color w:val="000000"/>
                <w:sz w:val="18"/>
                <w:szCs w:val="18"/>
              </w:rPr>
              <w:t>TPY</w:t>
            </w:r>
            <w:r w:rsidRPr="00C6068E">
              <w:rPr>
                <w:b/>
                <w:bCs/>
                <w:color w:val="000000"/>
                <w:sz w:val="18"/>
                <w:szCs w:val="18"/>
              </w:rPr>
              <w:t>)</w:t>
            </w:r>
          </w:p>
        </w:tc>
      </w:tr>
      <w:tr w:rsidR="00181E80" w:rsidRPr="00C6068E" w:rsidTr="008C6488">
        <w:trPr>
          <w:trHeight w:val="285"/>
        </w:trPr>
        <w:tc>
          <w:tcPr>
            <w:tcW w:w="1890"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181E80" w:rsidRPr="00C6068E" w:rsidRDefault="00181E80" w:rsidP="008C6488">
            <w:pPr>
              <w:spacing w:after="0"/>
              <w:rPr>
                <w:color w:val="000000"/>
                <w:sz w:val="18"/>
                <w:szCs w:val="18"/>
              </w:rPr>
            </w:pPr>
          </w:p>
        </w:tc>
        <w:tc>
          <w:tcPr>
            <w:tcW w:w="90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NO</w:t>
            </w:r>
            <w:r w:rsidRPr="001462C4">
              <w:rPr>
                <w:b/>
                <w:bCs/>
                <w:color w:val="000000"/>
                <w:sz w:val="18"/>
                <w:szCs w:val="18"/>
                <w:vertAlign w:val="subscript"/>
              </w:rPr>
              <w:t>X</w:t>
            </w:r>
          </w:p>
        </w:tc>
        <w:tc>
          <w:tcPr>
            <w:tcW w:w="72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CO</w:t>
            </w:r>
          </w:p>
        </w:tc>
        <w:tc>
          <w:tcPr>
            <w:tcW w:w="90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SO</w:t>
            </w:r>
            <w:r w:rsidRPr="001462C4">
              <w:rPr>
                <w:b/>
                <w:bCs/>
                <w:color w:val="000000"/>
                <w:sz w:val="18"/>
                <w:szCs w:val="18"/>
                <w:vertAlign w:val="subscript"/>
              </w:rPr>
              <w:t>X</w:t>
            </w:r>
          </w:p>
        </w:tc>
        <w:tc>
          <w:tcPr>
            <w:tcW w:w="63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VOC</w:t>
            </w:r>
          </w:p>
        </w:tc>
        <w:tc>
          <w:tcPr>
            <w:tcW w:w="90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PM</w:t>
            </w:r>
            <w:r w:rsidRPr="007A6530">
              <w:rPr>
                <w:b/>
                <w:bCs/>
                <w:color w:val="000000"/>
                <w:sz w:val="18"/>
                <w:szCs w:val="18"/>
                <w:vertAlign w:val="subscript"/>
              </w:rPr>
              <w:t>10</w:t>
            </w:r>
          </w:p>
        </w:tc>
        <w:tc>
          <w:tcPr>
            <w:tcW w:w="90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PM</w:t>
            </w:r>
            <w:r w:rsidRPr="007A6530">
              <w:rPr>
                <w:b/>
                <w:bCs/>
                <w:color w:val="000000"/>
                <w:sz w:val="18"/>
                <w:szCs w:val="18"/>
                <w:vertAlign w:val="subscript"/>
              </w:rPr>
              <w:t>2.5</w:t>
            </w:r>
          </w:p>
        </w:tc>
        <w:tc>
          <w:tcPr>
            <w:tcW w:w="90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Pb</w:t>
            </w:r>
          </w:p>
        </w:tc>
        <w:tc>
          <w:tcPr>
            <w:tcW w:w="90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Total HAP</w:t>
            </w:r>
          </w:p>
        </w:tc>
        <w:tc>
          <w:tcPr>
            <w:tcW w:w="630" w:type="dxa"/>
            <w:tcBorders>
              <w:top w:val="nil"/>
              <w:left w:val="nil"/>
              <w:bottom w:val="single" w:sz="4" w:space="0" w:color="auto"/>
              <w:right w:val="single" w:sz="4" w:space="0" w:color="auto"/>
            </w:tcBorders>
            <w:shd w:val="clear" w:color="auto" w:fill="DBE5F1" w:themeFill="accent1" w:themeFillTint="33"/>
            <w:vAlign w:val="bottom"/>
            <w:hideMark/>
          </w:tcPr>
          <w:p w:rsidR="00181E80" w:rsidRPr="00C6068E" w:rsidRDefault="00181E80" w:rsidP="008C6488">
            <w:pPr>
              <w:spacing w:after="0"/>
              <w:jc w:val="center"/>
              <w:rPr>
                <w:b/>
                <w:bCs/>
                <w:color w:val="000000"/>
                <w:sz w:val="18"/>
                <w:szCs w:val="18"/>
              </w:rPr>
            </w:pPr>
            <w:r w:rsidRPr="00C6068E">
              <w:rPr>
                <w:b/>
                <w:bCs/>
                <w:color w:val="000000"/>
                <w:sz w:val="18"/>
                <w:szCs w:val="18"/>
              </w:rPr>
              <w:t>HCl</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 xml:space="preserve">Feedstock Handling </w:t>
            </w:r>
            <w:r>
              <w:rPr>
                <w:color w:val="000000"/>
                <w:sz w:val="18"/>
                <w:szCs w:val="18"/>
              </w:rPr>
              <w:t>A</w:t>
            </w:r>
            <w:r w:rsidRPr="00C6068E">
              <w:rPr>
                <w:color w:val="000000"/>
                <w:sz w:val="18"/>
                <w:szCs w:val="18"/>
              </w:rPr>
              <w:t>rea</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5A489C" w:rsidRDefault="00181E80" w:rsidP="008C6488">
            <w:pPr>
              <w:spacing w:after="0"/>
              <w:jc w:val="right"/>
              <w:rPr>
                <w:i/>
                <w:iCs/>
                <w:color w:val="000000"/>
                <w:sz w:val="18"/>
                <w:szCs w:val="18"/>
              </w:rPr>
            </w:pPr>
            <w:r w:rsidRPr="005A489C">
              <w:rPr>
                <w:i/>
                <w:iCs/>
                <w:color w:val="000000"/>
                <w:sz w:val="18"/>
                <w:szCs w:val="18"/>
              </w:rPr>
              <w:t>Paved Road</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2.87</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0.43</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5A489C" w:rsidRDefault="00181E80" w:rsidP="008C6488">
            <w:pPr>
              <w:spacing w:after="0"/>
              <w:jc w:val="right"/>
              <w:rPr>
                <w:i/>
                <w:iCs/>
                <w:color w:val="000000"/>
                <w:sz w:val="18"/>
                <w:szCs w:val="18"/>
              </w:rPr>
            </w:pPr>
            <w:r w:rsidRPr="005A489C">
              <w:rPr>
                <w:i/>
                <w:iCs/>
                <w:color w:val="000000"/>
                <w:sz w:val="18"/>
                <w:szCs w:val="18"/>
              </w:rPr>
              <w:t>Materials Handling Operations</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1.20E-02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1.82E-03</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5A489C" w:rsidRDefault="00181E80" w:rsidP="008C6488">
            <w:pPr>
              <w:spacing w:after="0"/>
              <w:jc w:val="right"/>
              <w:rPr>
                <w:i/>
                <w:iCs/>
                <w:color w:val="000000"/>
                <w:sz w:val="18"/>
                <w:szCs w:val="18"/>
              </w:rPr>
            </w:pPr>
            <w:r w:rsidRPr="005A489C">
              <w:rPr>
                <w:i/>
                <w:iCs/>
                <w:color w:val="000000"/>
                <w:sz w:val="18"/>
                <w:szCs w:val="18"/>
              </w:rPr>
              <w:t>Shredding and Screening</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4.72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4.72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5A489C" w:rsidRDefault="00181E80" w:rsidP="008C6488">
            <w:pPr>
              <w:spacing w:after="0"/>
              <w:jc w:val="right"/>
              <w:rPr>
                <w:i/>
                <w:iCs/>
                <w:color w:val="000000"/>
                <w:sz w:val="18"/>
                <w:szCs w:val="18"/>
              </w:rPr>
            </w:pPr>
            <w:r w:rsidRPr="005A489C">
              <w:rPr>
                <w:i/>
                <w:iCs/>
                <w:color w:val="000000"/>
                <w:sz w:val="18"/>
                <w:szCs w:val="18"/>
              </w:rPr>
              <w:t>Shredder and Screen Engines</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13.07</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12.37</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0.80</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0.72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0.72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5A489C" w:rsidRDefault="00181E80" w:rsidP="008C6488">
            <w:pPr>
              <w:spacing w:after="0"/>
              <w:jc w:val="right"/>
              <w:rPr>
                <w:i/>
                <w:iCs/>
                <w:color w:val="000000"/>
                <w:sz w:val="18"/>
                <w:szCs w:val="18"/>
              </w:rPr>
            </w:pPr>
            <w:r w:rsidRPr="005A489C">
              <w:rPr>
                <w:i/>
                <w:iCs/>
                <w:color w:val="000000"/>
                <w:sz w:val="18"/>
                <w:szCs w:val="18"/>
              </w:rPr>
              <w:t>Feedstock Windrows</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33.38</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000000" w:fill="FFFF00"/>
            <w:hideMark/>
          </w:tcPr>
          <w:p w:rsidR="00181E80" w:rsidRPr="00C6068E" w:rsidRDefault="00181E80" w:rsidP="008C6488">
            <w:pPr>
              <w:spacing w:after="0"/>
              <w:rPr>
                <w:color w:val="000000"/>
                <w:sz w:val="18"/>
                <w:szCs w:val="18"/>
              </w:rPr>
            </w:pPr>
            <w:r w:rsidRPr="00C6068E">
              <w:rPr>
                <w:color w:val="000000"/>
                <w:sz w:val="18"/>
                <w:szCs w:val="18"/>
              </w:rPr>
              <w:t xml:space="preserve">Emergency Fire Pump </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0.31</w:t>
            </w:r>
          </w:p>
        </w:tc>
        <w:tc>
          <w:tcPr>
            <w:tcW w:w="72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0.07</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4.05E-03</w:t>
            </w:r>
          </w:p>
        </w:tc>
        <w:tc>
          <w:tcPr>
            <w:tcW w:w="63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2.20E-02</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2.20E-02</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000000" w:fill="FFFF00"/>
            <w:hideMark/>
          </w:tcPr>
          <w:p w:rsidR="00181E80" w:rsidRPr="00C6068E" w:rsidRDefault="00181E80" w:rsidP="008C6488">
            <w:pPr>
              <w:spacing w:after="0"/>
              <w:rPr>
                <w:color w:val="000000"/>
                <w:sz w:val="18"/>
                <w:szCs w:val="18"/>
              </w:rPr>
            </w:pPr>
            <w:r w:rsidRPr="00C6068E">
              <w:rPr>
                <w:color w:val="000000"/>
                <w:sz w:val="18"/>
                <w:szCs w:val="18"/>
              </w:rPr>
              <w:t>Emergency Generator</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0.13</w:t>
            </w:r>
          </w:p>
        </w:tc>
        <w:tc>
          <w:tcPr>
            <w:tcW w:w="72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0.27</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1.26E-04</w:t>
            </w:r>
          </w:p>
        </w:tc>
        <w:tc>
          <w:tcPr>
            <w:tcW w:w="63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0.07</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2.04E-03</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2.04E-03</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000000" w:fill="FFFF00"/>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Feedstock Dryers</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sz w:val="18"/>
                <w:szCs w:val="18"/>
              </w:rPr>
            </w:pPr>
            <w:r w:rsidRPr="00C6068E">
              <w:rPr>
                <w:sz w:val="18"/>
                <w:szCs w:val="18"/>
              </w:rPr>
              <w:t>33.38</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3.79</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3.79</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5.45</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000000" w:fill="FFFF00"/>
            <w:hideMark/>
          </w:tcPr>
          <w:p w:rsidR="00181E80" w:rsidRPr="00C6068E" w:rsidRDefault="00181E80" w:rsidP="008C6488">
            <w:pPr>
              <w:spacing w:after="0"/>
              <w:rPr>
                <w:color w:val="000000"/>
                <w:sz w:val="18"/>
                <w:szCs w:val="18"/>
              </w:rPr>
            </w:pPr>
            <w:r w:rsidRPr="00C6068E">
              <w:rPr>
                <w:color w:val="000000"/>
                <w:sz w:val="18"/>
                <w:szCs w:val="18"/>
              </w:rPr>
              <w:t xml:space="preserve">Vent Gas Boiler </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C00C9F" w:rsidP="008C6488">
            <w:pPr>
              <w:spacing w:after="0"/>
              <w:jc w:val="center"/>
              <w:rPr>
                <w:color w:val="000000"/>
                <w:sz w:val="18"/>
                <w:szCs w:val="18"/>
              </w:rPr>
            </w:pPr>
            <w:r>
              <w:rPr>
                <w:color w:val="000000"/>
                <w:sz w:val="18"/>
                <w:szCs w:val="18"/>
              </w:rPr>
              <w:t>72.09</w:t>
            </w:r>
          </w:p>
        </w:tc>
        <w:tc>
          <w:tcPr>
            <w:tcW w:w="72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color w:val="000000"/>
                <w:sz w:val="18"/>
                <w:szCs w:val="18"/>
              </w:rPr>
            </w:pPr>
            <w:r>
              <w:rPr>
                <w:color w:val="000000"/>
                <w:sz w:val="18"/>
                <w:szCs w:val="18"/>
              </w:rPr>
              <w:t>18.29</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color w:val="000000"/>
                <w:sz w:val="18"/>
                <w:szCs w:val="18"/>
              </w:rPr>
            </w:pPr>
            <w:r>
              <w:rPr>
                <w:color w:val="000000"/>
                <w:sz w:val="18"/>
                <w:szCs w:val="18"/>
              </w:rPr>
              <w:t>44.98</w:t>
            </w:r>
          </w:p>
        </w:tc>
        <w:tc>
          <w:tcPr>
            <w:tcW w:w="63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sz w:val="18"/>
                <w:szCs w:val="18"/>
              </w:rPr>
            </w:pPr>
            <w:r>
              <w:rPr>
                <w:sz w:val="18"/>
                <w:szCs w:val="18"/>
              </w:rPr>
              <w:t>9.33</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color w:val="000000"/>
                <w:sz w:val="18"/>
                <w:szCs w:val="18"/>
              </w:rPr>
            </w:pPr>
            <w:r>
              <w:rPr>
                <w:color w:val="000000"/>
                <w:sz w:val="18"/>
                <w:szCs w:val="18"/>
              </w:rPr>
              <w:t>7.54</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color w:val="000000"/>
                <w:sz w:val="18"/>
                <w:szCs w:val="18"/>
              </w:rPr>
            </w:pPr>
            <w:r>
              <w:rPr>
                <w:color w:val="000000"/>
                <w:sz w:val="18"/>
                <w:szCs w:val="18"/>
              </w:rPr>
              <w:t>7.54</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color w:val="000000"/>
                <w:sz w:val="18"/>
                <w:szCs w:val="18"/>
              </w:rPr>
            </w:pPr>
            <w:r>
              <w:rPr>
                <w:color w:val="000000"/>
                <w:sz w:val="18"/>
                <w:szCs w:val="18"/>
              </w:rPr>
              <w:t>6.28</w:t>
            </w:r>
            <w:r w:rsidR="00181E80" w:rsidRPr="00C6068E">
              <w:rPr>
                <w:color w:val="000000"/>
                <w:sz w:val="18"/>
                <w:szCs w:val="18"/>
              </w:rPr>
              <w:t>E-02</w:t>
            </w:r>
          </w:p>
        </w:tc>
        <w:tc>
          <w:tcPr>
            <w:tcW w:w="90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color w:val="000000"/>
                <w:sz w:val="18"/>
                <w:szCs w:val="18"/>
              </w:rPr>
            </w:pPr>
            <w:r>
              <w:rPr>
                <w:color w:val="000000"/>
                <w:sz w:val="18"/>
                <w:szCs w:val="18"/>
              </w:rPr>
              <w:t>4.85</w:t>
            </w:r>
          </w:p>
        </w:tc>
        <w:tc>
          <w:tcPr>
            <w:tcW w:w="630" w:type="dxa"/>
            <w:tcBorders>
              <w:top w:val="nil"/>
              <w:left w:val="nil"/>
              <w:bottom w:val="single" w:sz="4" w:space="0" w:color="auto"/>
              <w:right w:val="single" w:sz="4" w:space="0" w:color="auto"/>
            </w:tcBorders>
            <w:shd w:val="clear" w:color="000000" w:fill="FFFF00"/>
            <w:noWrap/>
            <w:vAlign w:val="bottom"/>
            <w:hideMark/>
          </w:tcPr>
          <w:p w:rsidR="00181E80" w:rsidRPr="00C6068E" w:rsidRDefault="00271A40" w:rsidP="008C6488">
            <w:pPr>
              <w:spacing w:after="0"/>
              <w:jc w:val="center"/>
              <w:rPr>
                <w:color w:val="000000"/>
                <w:sz w:val="18"/>
                <w:szCs w:val="18"/>
              </w:rPr>
            </w:pPr>
            <w:r>
              <w:rPr>
                <w:color w:val="000000"/>
                <w:sz w:val="18"/>
                <w:szCs w:val="18"/>
              </w:rPr>
              <w:t>4.76</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Distillation</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0.46</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0.18</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181E80">
        <w:trPr>
          <w:trHeight w:val="240"/>
        </w:trPr>
        <w:tc>
          <w:tcPr>
            <w:tcW w:w="1890" w:type="dxa"/>
            <w:tcBorders>
              <w:top w:val="nil"/>
              <w:left w:val="single" w:sz="4" w:space="0" w:color="auto"/>
              <w:bottom w:val="single" w:sz="4" w:space="0" w:color="auto"/>
              <w:right w:val="single" w:sz="4" w:space="0" w:color="auto"/>
            </w:tcBorders>
            <w:shd w:val="clear" w:color="auto" w:fill="FFFF00"/>
            <w:vAlign w:val="center"/>
            <w:hideMark/>
          </w:tcPr>
          <w:p w:rsidR="00181E80" w:rsidRPr="00181E80" w:rsidRDefault="00181E80" w:rsidP="00181E80">
            <w:pPr>
              <w:spacing w:after="0"/>
              <w:rPr>
                <w:color w:val="000000"/>
                <w:sz w:val="18"/>
                <w:szCs w:val="18"/>
                <w:highlight w:val="yellow"/>
              </w:rPr>
            </w:pPr>
            <w:r w:rsidRPr="00181E80">
              <w:rPr>
                <w:color w:val="000000"/>
                <w:sz w:val="18"/>
                <w:szCs w:val="18"/>
                <w:highlight w:val="yellow"/>
              </w:rPr>
              <w:t>Syngas Flare</w:t>
            </w:r>
          </w:p>
        </w:tc>
        <w:tc>
          <w:tcPr>
            <w:tcW w:w="900" w:type="dxa"/>
            <w:tcBorders>
              <w:top w:val="nil"/>
              <w:left w:val="nil"/>
              <w:bottom w:val="single" w:sz="4" w:space="0" w:color="auto"/>
              <w:right w:val="single" w:sz="4" w:space="0" w:color="auto"/>
            </w:tcBorders>
            <w:shd w:val="clear" w:color="auto" w:fill="FFFF00"/>
            <w:noWrap/>
            <w:vAlign w:val="center"/>
            <w:hideMark/>
          </w:tcPr>
          <w:p w:rsidR="00181E80" w:rsidRPr="00181E80" w:rsidRDefault="00C00C9F" w:rsidP="005076B1">
            <w:pPr>
              <w:spacing w:after="0"/>
              <w:jc w:val="center"/>
              <w:rPr>
                <w:color w:val="000000"/>
                <w:sz w:val="18"/>
                <w:szCs w:val="18"/>
                <w:highlight w:val="yellow"/>
              </w:rPr>
            </w:pPr>
            <w:r>
              <w:rPr>
                <w:color w:val="000000"/>
                <w:sz w:val="18"/>
                <w:szCs w:val="18"/>
                <w:highlight w:val="yellow"/>
              </w:rPr>
              <w:t>2.17</w:t>
            </w:r>
          </w:p>
        </w:tc>
        <w:tc>
          <w:tcPr>
            <w:tcW w:w="720" w:type="dxa"/>
            <w:tcBorders>
              <w:top w:val="nil"/>
              <w:left w:val="nil"/>
              <w:bottom w:val="single" w:sz="4" w:space="0" w:color="auto"/>
              <w:right w:val="single" w:sz="4" w:space="0" w:color="auto"/>
            </w:tcBorders>
            <w:shd w:val="clear" w:color="auto" w:fill="FFFF00"/>
            <w:noWrap/>
            <w:vAlign w:val="center"/>
            <w:hideMark/>
          </w:tcPr>
          <w:p w:rsidR="00181E80" w:rsidRPr="00181E80" w:rsidRDefault="00271A40" w:rsidP="00181E80">
            <w:pPr>
              <w:spacing w:after="0"/>
              <w:jc w:val="center"/>
              <w:rPr>
                <w:color w:val="000000"/>
                <w:sz w:val="18"/>
                <w:szCs w:val="18"/>
                <w:highlight w:val="yellow"/>
              </w:rPr>
            </w:pPr>
            <w:r>
              <w:rPr>
                <w:color w:val="000000"/>
                <w:sz w:val="18"/>
                <w:szCs w:val="18"/>
                <w:highlight w:val="yellow"/>
              </w:rPr>
              <w:t>40.62</w:t>
            </w:r>
          </w:p>
        </w:tc>
        <w:tc>
          <w:tcPr>
            <w:tcW w:w="900" w:type="dxa"/>
            <w:tcBorders>
              <w:top w:val="nil"/>
              <w:left w:val="nil"/>
              <w:bottom w:val="single" w:sz="4" w:space="0" w:color="auto"/>
              <w:right w:val="single" w:sz="4" w:space="0" w:color="auto"/>
            </w:tcBorders>
            <w:shd w:val="clear" w:color="auto" w:fill="FFFF00"/>
            <w:noWrap/>
            <w:vAlign w:val="center"/>
            <w:hideMark/>
          </w:tcPr>
          <w:p w:rsidR="00181E80" w:rsidRPr="00181E80" w:rsidRDefault="00271A40" w:rsidP="00181E80">
            <w:pPr>
              <w:spacing w:after="0"/>
              <w:jc w:val="center"/>
              <w:rPr>
                <w:sz w:val="18"/>
                <w:szCs w:val="18"/>
                <w:highlight w:val="yellow"/>
              </w:rPr>
            </w:pPr>
            <w:r>
              <w:rPr>
                <w:sz w:val="18"/>
                <w:szCs w:val="18"/>
                <w:highlight w:val="yellow"/>
              </w:rPr>
              <w:t>22.41</w:t>
            </w:r>
          </w:p>
        </w:tc>
        <w:tc>
          <w:tcPr>
            <w:tcW w:w="630" w:type="dxa"/>
            <w:tcBorders>
              <w:top w:val="nil"/>
              <w:left w:val="nil"/>
              <w:bottom w:val="single" w:sz="4" w:space="0" w:color="auto"/>
              <w:right w:val="single" w:sz="4" w:space="0" w:color="auto"/>
            </w:tcBorders>
            <w:shd w:val="clear" w:color="auto" w:fill="FFFF00"/>
            <w:noWrap/>
            <w:vAlign w:val="center"/>
            <w:hideMark/>
          </w:tcPr>
          <w:p w:rsidR="00181E80" w:rsidRPr="00181E80" w:rsidRDefault="00271A40" w:rsidP="00181E80">
            <w:pPr>
              <w:spacing w:after="0"/>
              <w:jc w:val="center"/>
              <w:rPr>
                <w:color w:val="000000"/>
                <w:sz w:val="18"/>
                <w:szCs w:val="18"/>
                <w:highlight w:val="yellow"/>
              </w:rPr>
            </w:pPr>
            <w:r>
              <w:rPr>
                <w:color w:val="000000"/>
                <w:sz w:val="18"/>
                <w:szCs w:val="18"/>
                <w:highlight w:val="yellow"/>
              </w:rPr>
              <w:t>2.65</w:t>
            </w:r>
          </w:p>
        </w:tc>
        <w:tc>
          <w:tcPr>
            <w:tcW w:w="900" w:type="dxa"/>
            <w:tcBorders>
              <w:top w:val="nil"/>
              <w:left w:val="nil"/>
              <w:bottom w:val="single" w:sz="4" w:space="0" w:color="auto"/>
              <w:right w:val="single" w:sz="4" w:space="0" w:color="auto"/>
            </w:tcBorders>
            <w:shd w:val="clear" w:color="auto" w:fill="FFFF00"/>
            <w:noWrap/>
            <w:vAlign w:val="center"/>
            <w:hideMark/>
          </w:tcPr>
          <w:p w:rsidR="00181E80" w:rsidRPr="00181E80" w:rsidRDefault="00271A40" w:rsidP="00181E80">
            <w:pPr>
              <w:spacing w:after="0"/>
              <w:jc w:val="center"/>
              <w:rPr>
                <w:color w:val="000000"/>
                <w:sz w:val="18"/>
                <w:szCs w:val="18"/>
                <w:highlight w:val="yellow"/>
              </w:rPr>
            </w:pPr>
            <w:r>
              <w:rPr>
                <w:color w:val="000000"/>
                <w:sz w:val="18"/>
                <w:szCs w:val="18"/>
                <w:highlight w:val="yellow"/>
              </w:rPr>
              <w:t>0.92</w:t>
            </w:r>
          </w:p>
        </w:tc>
        <w:tc>
          <w:tcPr>
            <w:tcW w:w="900" w:type="dxa"/>
            <w:tcBorders>
              <w:top w:val="nil"/>
              <w:left w:val="nil"/>
              <w:bottom w:val="single" w:sz="4" w:space="0" w:color="auto"/>
              <w:right w:val="single" w:sz="4" w:space="0" w:color="auto"/>
            </w:tcBorders>
            <w:shd w:val="clear" w:color="auto" w:fill="FFFF00"/>
            <w:noWrap/>
            <w:vAlign w:val="center"/>
            <w:hideMark/>
          </w:tcPr>
          <w:p w:rsidR="00181E80" w:rsidRPr="00181E80" w:rsidRDefault="00271A40" w:rsidP="00181E80">
            <w:pPr>
              <w:spacing w:after="0"/>
              <w:jc w:val="center"/>
              <w:rPr>
                <w:color w:val="000000"/>
                <w:sz w:val="18"/>
                <w:szCs w:val="18"/>
                <w:highlight w:val="yellow"/>
              </w:rPr>
            </w:pPr>
            <w:r>
              <w:rPr>
                <w:color w:val="000000"/>
                <w:sz w:val="18"/>
                <w:szCs w:val="18"/>
                <w:highlight w:val="yellow"/>
              </w:rPr>
              <w:t>0.92</w:t>
            </w:r>
          </w:p>
        </w:tc>
        <w:tc>
          <w:tcPr>
            <w:tcW w:w="900" w:type="dxa"/>
            <w:tcBorders>
              <w:top w:val="nil"/>
              <w:left w:val="nil"/>
              <w:bottom w:val="single" w:sz="4" w:space="0" w:color="auto"/>
              <w:right w:val="single" w:sz="4" w:space="0" w:color="auto"/>
            </w:tcBorders>
            <w:shd w:val="clear" w:color="auto" w:fill="FFFF00"/>
            <w:noWrap/>
            <w:vAlign w:val="center"/>
            <w:hideMark/>
          </w:tcPr>
          <w:p w:rsidR="00181E80" w:rsidRPr="00181E80" w:rsidRDefault="00181E80" w:rsidP="00181E80">
            <w:pPr>
              <w:spacing w:after="0"/>
              <w:jc w:val="center"/>
              <w:rPr>
                <w:color w:val="000000"/>
                <w:sz w:val="18"/>
                <w:szCs w:val="18"/>
                <w:highlight w:val="yellow"/>
              </w:rPr>
            </w:pPr>
            <w:r w:rsidRPr="00181E80">
              <w:rPr>
                <w:color w:val="000000"/>
                <w:sz w:val="18"/>
                <w:szCs w:val="18"/>
                <w:highlight w:val="yellow"/>
              </w:rPr>
              <w:t>9.56E-03</w:t>
            </w:r>
          </w:p>
        </w:tc>
        <w:tc>
          <w:tcPr>
            <w:tcW w:w="900" w:type="dxa"/>
            <w:tcBorders>
              <w:top w:val="nil"/>
              <w:left w:val="nil"/>
              <w:bottom w:val="single" w:sz="4" w:space="0" w:color="auto"/>
              <w:right w:val="single" w:sz="4" w:space="0" w:color="auto"/>
            </w:tcBorders>
            <w:shd w:val="clear" w:color="auto" w:fill="FFFF00"/>
            <w:noWrap/>
            <w:vAlign w:val="center"/>
            <w:hideMark/>
          </w:tcPr>
          <w:p w:rsidR="00181E80" w:rsidRPr="00181E80" w:rsidRDefault="00271A40" w:rsidP="00181E80">
            <w:pPr>
              <w:spacing w:after="0"/>
              <w:jc w:val="center"/>
              <w:rPr>
                <w:sz w:val="18"/>
                <w:szCs w:val="18"/>
                <w:highlight w:val="yellow"/>
              </w:rPr>
            </w:pPr>
            <w:r>
              <w:rPr>
                <w:sz w:val="18"/>
                <w:szCs w:val="18"/>
                <w:highlight w:val="yellow"/>
              </w:rPr>
              <w:t>4.87</w:t>
            </w:r>
          </w:p>
        </w:tc>
        <w:tc>
          <w:tcPr>
            <w:tcW w:w="630" w:type="dxa"/>
            <w:tcBorders>
              <w:top w:val="nil"/>
              <w:left w:val="nil"/>
              <w:bottom w:val="single" w:sz="4" w:space="0" w:color="auto"/>
              <w:right w:val="single" w:sz="4" w:space="0" w:color="auto"/>
            </w:tcBorders>
            <w:shd w:val="clear" w:color="auto" w:fill="FFFF00"/>
            <w:noWrap/>
            <w:vAlign w:val="center"/>
            <w:hideMark/>
          </w:tcPr>
          <w:p w:rsidR="00181E80" w:rsidRPr="00181E80" w:rsidRDefault="00271A40" w:rsidP="00181E80">
            <w:pPr>
              <w:spacing w:after="0"/>
              <w:jc w:val="center"/>
              <w:rPr>
                <w:color w:val="000000"/>
                <w:sz w:val="18"/>
                <w:szCs w:val="18"/>
                <w:highlight w:val="yellow"/>
              </w:rPr>
            </w:pPr>
            <w:r>
              <w:rPr>
                <w:color w:val="000000"/>
                <w:sz w:val="18"/>
                <w:szCs w:val="18"/>
                <w:highlight w:val="yellow"/>
              </w:rPr>
              <w:t>4.80</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Tank Farm</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1.69</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5.25E-02</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Dry Chemical Silos</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0.66</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271A40" w:rsidP="008C6488">
            <w:pPr>
              <w:spacing w:after="0"/>
              <w:jc w:val="center"/>
              <w:rPr>
                <w:color w:val="000000"/>
                <w:sz w:val="18"/>
                <w:szCs w:val="18"/>
              </w:rPr>
            </w:pPr>
            <w:r>
              <w:rPr>
                <w:color w:val="000000"/>
                <w:sz w:val="18"/>
                <w:szCs w:val="18"/>
              </w:rPr>
              <w:t>20.92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Cooling Tower</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2.11</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2.11</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Loading Area Flare</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7.41E-02</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1.39</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1.66</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2.00E-02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2.00E-02</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5.42E-04</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nil"/>
              <w:left w:val="single" w:sz="4" w:space="0" w:color="auto"/>
              <w:bottom w:val="single" w:sz="4" w:space="0" w:color="auto"/>
              <w:right w:val="single" w:sz="4" w:space="0" w:color="auto"/>
            </w:tcBorders>
            <w:shd w:val="clear" w:color="auto" w:fill="auto"/>
            <w:hideMark/>
          </w:tcPr>
          <w:p w:rsidR="00181E80" w:rsidRPr="00C6068E" w:rsidRDefault="00181E80" w:rsidP="008C6488">
            <w:pPr>
              <w:spacing w:after="0"/>
              <w:rPr>
                <w:color w:val="000000"/>
                <w:sz w:val="18"/>
                <w:szCs w:val="18"/>
              </w:rPr>
            </w:pPr>
            <w:r w:rsidRPr="00C6068E">
              <w:rPr>
                <w:color w:val="000000"/>
                <w:sz w:val="18"/>
                <w:szCs w:val="18"/>
              </w:rPr>
              <w:t>Miscellaneous Tanks</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72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0.25</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c>
          <w:tcPr>
            <w:tcW w:w="90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4.31E-03</w:t>
            </w:r>
          </w:p>
        </w:tc>
        <w:tc>
          <w:tcPr>
            <w:tcW w:w="630" w:type="dxa"/>
            <w:tcBorders>
              <w:top w:val="nil"/>
              <w:left w:val="nil"/>
              <w:bottom w:val="single" w:sz="4" w:space="0" w:color="auto"/>
              <w:right w:val="single" w:sz="4" w:space="0" w:color="auto"/>
            </w:tcBorders>
            <w:shd w:val="clear" w:color="auto" w:fill="auto"/>
            <w:noWrap/>
            <w:vAlign w:val="bottom"/>
            <w:hideMark/>
          </w:tcPr>
          <w:p w:rsidR="00181E80" w:rsidRPr="00C6068E" w:rsidRDefault="00181E80" w:rsidP="008C6488">
            <w:pPr>
              <w:spacing w:after="0"/>
              <w:jc w:val="center"/>
              <w:rPr>
                <w:color w:val="000000"/>
                <w:sz w:val="18"/>
                <w:szCs w:val="18"/>
              </w:rPr>
            </w:pPr>
            <w:r w:rsidRPr="00C6068E">
              <w:rPr>
                <w:color w:val="000000"/>
                <w:sz w:val="18"/>
                <w:szCs w:val="18"/>
              </w:rPr>
              <w:t>---</w:t>
            </w:r>
          </w:p>
        </w:tc>
      </w:tr>
      <w:tr w:rsidR="00181E80" w:rsidRPr="00C6068E" w:rsidTr="008C6488">
        <w:trPr>
          <w:trHeight w:val="240"/>
        </w:trPr>
        <w:tc>
          <w:tcPr>
            <w:tcW w:w="189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181E80" w:rsidRPr="00C6068E" w:rsidRDefault="00181E80" w:rsidP="008C6488">
            <w:pPr>
              <w:spacing w:after="0"/>
              <w:rPr>
                <w:b/>
                <w:bCs/>
                <w:color w:val="000000"/>
                <w:sz w:val="18"/>
                <w:szCs w:val="18"/>
              </w:rPr>
            </w:pPr>
            <w:r w:rsidRPr="00C6068E">
              <w:rPr>
                <w:b/>
                <w:bCs/>
                <w:color w:val="000000"/>
                <w:sz w:val="18"/>
                <w:szCs w:val="18"/>
              </w:rPr>
              <w:t xml:space="preserve">Total </w:t>
            </w:r>
          </w:p>
        </w:tc>
        <w:tc>
          <w:tcPr>
            <w:tcW w:w="90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C00C9F" w:rsidP="005076B1">
            <w:pPr>
              <w:spacing w:after="0"/>
              <w:jc w:val="center"/>
              <w:rPr>
                <w:b/>
                <w:bCs/>
                <w:color w:val="000000"/>
                <w:sz w:val="18"/>
                <w:szCs w:val="18"/>
              </w:rPr>
            </w:pPr>
            <w:r>
              <w:rPr>
                <w:b/>
                <w:bCs/>
                <w:color w:val="000000"/>
                <w:sz w:val="18"/>
                <w:szCs w:val="18"/>
              </w:rPr>
              <w:t>87.85</w:t>
            </w:r>
          </w:p>
        </w:tc>
        <w:tc>
          <w:tcPr>
            <w:tcW w:w="72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271A40" w:rsidP="008C6488">
            <w:pPr>
              <w:spacing w:after="0"/>
              <w:jc w:val="center"/>
              <w:rPr>
                <w:b/>
                <w:bCs/>
                <w:color w:val="000000"/>
                <w:sz w:val="18"/>
                <w:szCs w:val="18"/>
              </w:rPr>
            </w:pPr>
            <w:r>
              <w:rPr>
                <w:b/>
                <w:bCs/>
                <w:color w:val="000000"/>
                <w:sz w:val="18"/>
                <w:szCs w:val="18"/>
              </w:rPr>
              <w:t>73.00</w:t>
            </w:r>
          </w:p>
        </w:tc>
        <w:tc>
          <w:tcPr>
            <w:tcW w:w="90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271A40" w:rsidP="008C6488">
            <w:pPr>
              <w:spacing w:after="0"/>
              <w:jc w:val="center"/>
              <w:rPr>
                <w:b/>
                <w:bCs/>
                <w:color w:val="000000"/>
                <w:sz w:val="18"/>
                <w:szCs w:val="18"/>
              </w:rPr>
            </w:pPr>
            <w:r>
              <w:rPr>
                <w:b/>
                <w:bCs/>
                <w:color w:val="000000"/>
                <w:sz w:val="18"/>
                <w:szCs w:val="18"/>
              </w:rPr>
              <w:t>68.20</w:t>
            </w:r>
          </w:p>
        </w:tc>
        <w:tc>
          <w:tcPr>
            <w:tcW w:w="63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271A40" w:rsidP="008C6488">
            <w:pPr>
              <w:spacing w:after="0"/>
              <w:jc w:val="center"/>
              <w:rPr>
                <w:b/>
                <w:bCs/>
                <w:color w:val="000000"/>
                <w:sz w:val="18"/>
                <w:szCs w:val="18"/>
              </w:rPr>
            </w:pPr>
            <w:r>
              <w:rPr>
                <w:b/>
                <w:bCs/>
                <w:color w:val="000000"/>
                <w:sz w:val="18"/>
                <w:szCs w:val="18"/>
              </w:rPr>
              <w:t>82.88</w:t>
            </w:r>
          </w:p>
        </w:tc>
        <w:tc>
          <w:tcPr>
            <w:tcW w:w="90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271A40" w:rsidP="008C6488">
            <w:pPr>
              <w:spacing w:after="0"/>
              <w:jc w:val="center"/>
              <w:rPr>
                <w:b/>
                <w:bCs/>
                <w:color w:val="000000"/>
                <w:sz w:val="18"/>
                <w:szCs w:val="18"/>
              </w:rPr>
            </w:pPr>
            <w:r>
              <w:rPr>
                <w:b/>
                <w:bCs/>
                <w:color w:val="000000"/>
                <w:sz w:val="18"/>
                <w:szCs w:val="18"/>
              </w:rPr>
              <w:t>23.37</w:t>
            </w:r>
          </w:p>
        </w:tc>
        <w:tc>
          <w:tcPr>
            <w:tcW w:w="90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5076B1" w:rsidP="008C6488">
            <w:pPr>
              <w:spacing w:after="0"/>
              <w:jc w:val="center"/>
              <w:rPr>
                <w:b/>
                <w:bCs/>
                <w:color w:val="000000"/>
                <w:sz w:val="18"/>
                <w:szCs w:val="18"/>
              </w:rPr>
            </w:pPr>
            <w:r>
              <w:rPr>
                <w:b/>
                <w:bCs/>
                <w:color w:val="000000"/>
                <w:sz w:val="18"/>
                <w:szCs w:val="18"/>
              </w:rPr>
              <w:t>21.66</w:t>
            </w:r>
          </w:p>
        </w:tc>
        <w:tc>
          <w:tcPr>
            <w:tcW w:w="90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271A40" w:rsidP="008C6488">
            <w:pPr>
              <w:spacing w:after="0"/>
              <w:jc w:val="center"/>
              <w:rPr>
                <w:b/>
                <w:bCs/>
                <w:color w:val="000000"/>
                <w:sz w:val="18"/>
                <w:szCs w:val="18"/>
              </w:rPr>
            </w:pPr>
            <w:r>
              <w:rPr>
                <w:b/>
                <w:bCs/>
                <w:color w:val="000000"/>
                <w:sz w:val="18"/>
                <w:szCs w:val="18"/>
              </w:rPr>
              <w:t>7.24</w:t>
            </w:r>
            <w:r w:rsidR="00181E80" w:rsidRPr="00C6068E">
              <w:rPr>
                <w:b/>
                <w:bCs/>
                <w:color w:val="000000"/>
                <w:sz w:val="18"/>
                <w:szCs w:val="18"/>
              </w:rPr>
              <w:t>E-02</w:t>
            </w:r>
          </w:p>
        </w:tc>
        <w:tc>
          <w:tcPr>
            <w:tcW w:w="90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271A40" w:rsidP="008C6488">
            <w:pPr>
              <w:spacing w:after="0"/>
              <w:jc w:val="center"/>
              <w:rPr>
                <w:b/>
                <w:bCs/>
                <w:color w:val="000000"/>
                <w:sz w:val="18"/>
                <w:szCs w:val="18"/>
              </w:rPr>
            </w:pPr>
            <w:r>
              <w:rPr>
                <w:b/>
                <w:bCs/>
                <w:color w:val="000000"/>
                <w:sz w:val="18"/>
                <w:szCs w:val="18"/>
              </w:rPr>
              <w:t>15.41</w:t>
            </w:r>
          </w:p>
        </w:tc>
        <w:tc>
          <w:tcPr>
            <w:tcW w:w="63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81E80" w:rsidRPr="00C6068E" w:rsidRDefault="00271A40" w:rsidP="008C6488">
            <w:pPr>
              <w:spacing w:after="0"/>
              <w:jc w:val="center"/>
              <w:rPr>
                <w:b/>
                <w:bCs/>
                <w:color w:val="000000"/>
                <w:sz w:val="18"/>
                <w:szCs w:val="18"/>
              </w:rPr>
            </w:pPr>
            <w:r>
              <w:rPr>
                <w:b/>
                <w:bCs/>
                <w:color w:val="000000"/>
                <w:sz w:val="18"/>
                <w:szCs w:val="18"/>
              </w:rPr>
              <w:t>9.56</w:t>
            </w:r>
          </w:p>
        </w:tc>
      </w:tr>
    </w:tbl>
    <w:p w:rsidR="003C7B2F" w:rsidRDefault="003C7B2F">
      <w:pPr>
        <w:spacing w:after="0"/>
        <w:rPr>
          <w:szCs w:val="22"/>
        </w:rPr>
      </w:pPr>
      <w:r>
        <w:rPr>
          <w:szCs w:val="22"/>
        </w:rPr>
        <w:br w:type="page"/>
      </w:r>
    </w:p>
    <w:p w:rsidR="003C7B2F" w:rsidRDefault="003C7B2F" w:rsidP="003C7B2F">
      <w:pPr>
        <w:spacing w:before="120"/>
        <w:rPr>
          <w:szCs w:val="22"/>
        </w:rPr>
      </w:pPr>
      <w:r>
        <w:rPr>
          <w:szCs w:val="22"/>
        </w:rPr>
        <w:lastRenderedPageBreak/>
        <w:t>T</w:t>
      </w:r>
      <w:r w:rsidRPr="00A21062">
        <w:rPr>
          <w:szCs w:val="22"/>
        </w:rPr>
        <w:t>able</w:t>
      </w:r>
      <w:r>
        <w:rPr>
          <w:szCs w:val="22"/>
        </w:rPr>
        <w:t xml:space="preserve"> 3 above contains </w:t>
      </w:r>
      <w:r w:rsidRPr="00A21062">
        <w:rPr>
          <w:szCs w:val="22"/>
        </w:rPr>
        <w:t xml:space="preserve">the </w:t>
      </w:r>
      <w:r>
        <w:rPr>
          <w:szCs w:val="22"/>
        </w:rPr>
        <w:t xml:space="preserve">applicant's </w:t>
      </w:r>
      <w:r w:rsidRPr="00A21062">
        <w:rPr>
          <w:szCs w:val="22"/>
        </w:rPr>
        <w:t>emission</w:t>
      </w:r>
      <w:r>
        <w:rPr>
          <w:szCs w:val="22"/>
        </w:rPr>
        <w:t>s estimates for PSD pollutants along with total HAP emissions and, taking into account not only the reduction in the H</w:t>
      </w:r>
      <w:r w:rsidRPr="000D5C60">
        <w:rPr>
          <w:szCs w:val="22"/>
          <w:vertAlign w:val="subscript"/>
        </w:rPr>
        <w:t>2</w:t>
      </w:r>
      <w:r>
        <w:rPr>
          <w:szCs w:val="22"/>
        </w:rPr>
        <w:t>S concentration in the syngas and fermenter off gas, but also the increase in the operational hours of the flare requested in the RAI response by INPB</w:t>
      </w:r>
      <w:r w:rsidRPr="00A21062">
        <w:rPr>
          <w:szCs w:val="22"/>
        </w:rPr>
        <w:t>.</w:t>
      </w:r>
      <w:r>
        <w:rPr>
          <w:szCs w:val="22"/>
        </w:rPr>
        <w:t xml:space="preserve">  The reduction of</w:t>
      </w:r>
      <w:r w:rsidRPr="00B67F70">
        <w:rPr>
          <w:szCs w:val="22"/>
        </w:rPr>
        <w:t xml:space="preserve"> the mass of H</w:t>
      </w:r>
      <w:r w:rsidRPr="00B67F70">
        <w:rPr>
          <w:szCs w:val="22"/>
          <w:vertAlign w:val="subscript"/>
        </w:rPr>
        <w:t>2</w:t>
      </w:r>
      <w:r w:rsidRPr="00B67F70">
        <w:rPr>
          <w:szCs w:val="22"/>
        </w:rPr>
        <w:t xml:space="preserve">S entering the vent gas boiler </w:t>
      </w:r>
      <w:r>
        <w:rPr>
          <w:szCs w:val="22"/>
        </w:rPr>
        <w:t>will result</w:t>
      </w:r>
      <w:r w:rsidRPr="00B67F70">
        <w:rPr>
          <w:szCs w:val="22"/>
        </w:rPr>
        <w:t xml:space="preserve"> in </w:t>
      </w:r>
      <w:r>
        <w:rPr>
          <w:szCs w:val="22"/>
        </w:rPr>
        <w:t xml:space="preserve">a reduction in </w:t>
      </w:r>
      <w:r w:rsidRPr="00B67F70">
        <w:rPr>
          <w:szCs w:val="22"/>
        </w:rPr>
        <w:t xml:space="preserve">the estimated mass emission rates (pounds per hour and </w:t>
      </w:r>
      <w:r>
        <w:rPr>
          <w:szCs w:val="22"/>
        </w:rPr>
        <w:t>TPY</w:t>
      </w:r>
      <w:r w:rsidRPr="00B67F70">
        <w:rPr>
          <w:szCs w:val="22"/>
        </w:rPr>
        <w:t xml:space="preserve">) of all pollutants from the vent gas boiler. </w:t>
      </w:r>
      <w:r>
        <w:rPr>
          <w:szCs w:val="22"/>
        </w:rPr>
        <w:t xml:space="preserve"> This is reflected in Table 3 along with the increase in the flares operational hours from 300 hours per year to 640 hours per year.  This equates in an increase in syngas combustion from 232.6 million standard cubic feet per year (mmscf/yr) to 496.2 mmscf/yr.  Changes from previous calculations are highlighted in yellow for the larger vent gas boiler (EU-006), syngas flare (EU 010) and emergency equipment (EU 011).  </w:t>
      </w:r>
      <w:r w:rsidRPr="00A21062">
        <w:rPr>
          <w:szCs w:val="22"/>
        </w:rPr>
        <w:t xml:space="preserve">As shown in </w:t>
      </w:r>
      <w:r>
        <w:rPr>
          <w:szCs w:val="22"/>
        </w:rPr>
        <w:t>Table 3</w:t>
      </w:r>
      <w:r w:rsidRPr="00A21062">
        <w:rPr>
          <w:szCs w:val="22"/>
        </w:rPr>
        <w:t xml:space="preserve">, the project </w:t>
      </w:r>
      <w:r>
        <w:rPr>
          <w:szCs w:val="22"/>
        </w:rPr>
        <w:t xml:space="preserve">will have potential emissions less than 100 TPY for all of the following pollutants:  </w:t>
      </w:r>
      <w:r w:rsidRPr="00A21062">
        <w:rPr>
          <w:szCs w:val="22"/>
        </w:rPr>
        <w:t>NO</w:t>
      </w:r>
      <w:r w:rsidRPr="00A21062">
        <w:rPr>
          <w:szCs w:val="22"/>
          <w:vertAlign w:val="subscript"/>
        </w:rPr>
        <w:t>X</w:t>
      </w:r>
      <w:r w:rsidRPr="00A21062">
        <w:rPr>
          <w:szCs w:val="22"/>
        </w:rPr>
        <w:t xml:space="preserve">, </w:t>
      </w:r>
      <w:r>
        <w:rPr>
          <w:szCs w:val="22"/>
        </w:rPr>
        <w:t>CO, SO</w:t>
      </w:r>
      <w:r w:rsidRPr="00CF0372">
        <w:rPr>
          <w:szCs w:val="22"/>
          <w:vertAlign w:val="subscript"/>
        </w:rPr>
        <w:t>2</w:t>
      </w:r>
      <w:r>
        <w:rPr>
          <w:szCs w:val="22"/>
        </w:rPr>
        <w:t xml:space="preserve">, </w:t>
      </w:r>
      <w:r w:rsidRPr="00A21062">
        <w:rPr>
          <w:szCs w:val="22"/>
        </w:rPr>
        <w:t>VOC</w:t>
      </w:r>
      <w:r>
        <w:rPr>
          <w:szCs w:val="22"/>
        </w:rPr>
        <w:t xml:space="preserve">, </w:t>
      </w:r>
      <w:r w:rsidRPr="00CF0372">
        <w:rPr>
          <w:szCs w:val="22"/>
        </w:rPr>
        <w:t>PM</w:t>
      </w:r>
      <w:r w:rsidRPr="00CF0372">
        <w:rPr>
          <w:szCs w:val="22"/>
          <w:vertAlign w:val="subscript"/>
        </w:rPr>
        <w:t>10</w:t>
      </w:r>
      <w:r>
        <w:rPr>
          <w:szCs w:val="22"/>
        </w:rPr>
        <w:t xml:space="preserve"> and </w:t>
      </w:r>
      <w:r w:rsidRPr="00CF0372">
        <w:rPr>
          <w:szCs w:val="22"/>
        </w:rPr>
        <w:t>PM</w:t>
      </w:r>
      <w:r w:rsidRPr="00CF0372">
        <w:rPr>
          <w:szCs w:val="22"/>
          <w:vertAlign w:val="subscript"/>
        </w:rPr>
        <w:t>2.5</w:t>
      </w:r>
      <w:r>
        <w:rPr>
          <w:szCs w:val="22"/>
        </w:rPr>
        <w:t>.  In addition the project is now a minor source of HAP since it will</w:t>
      </w:r>
      <w:r w:rsidRPr="001E3FFE">
        <w:rPr>
          <w:szCs w:val="22"/>
        </w:rPr>
        <w:t xml:space="preserve"> </w:t>
      </w:r>
      <w:r>
        <w:rPr>
          <w:szCs w:val="22"/>
        </w:rPr>
        <w:t xml:space="preserve">not </w:t>
      </w:r>
      <w:r w:rsidRPr="001E3FFE">
        <w:rPr>
          <w:szCs w:val="22"/>
        </w:rPr>
        <w:t xml:space="preserve">emit </w:t>
      </w:r>
      <w:r>
        <w:rPr>
          <w:szCs w:val="22"/>
        </w:rPr>
        <w:t>n</w:t>
      </w:r>
      <w:r w:rsidRPr="001E3FFE">
        <w:rPr>
          <w:szCs w:val="22"/>
        </w:rPr>
        <w:t xml:space="preserve">or has </w:t>
      </w:r>
      <w:r>
        <w:rPr>
          <w:szCs w:val="22"/>
        </w:rPr>
        <w:t xml:space="preserve">it </w:t>
      </w:r>
      <w:r w:rsidRPr="001E3FFE">
        <w:rPr>
          <w:szCs w:val="22"/>
        </w:rPr>
        <w:t xml:space="preserve">the potential to emit any single HAP at 10 TPY or more or total HAP </w:t>
      </w:r>
      <w:r>
        <w:rPr>
          <w:szCs w:val="22"/>
        </w:rPr>
        <w:t xml:space="preserve">emissions </w:t>
      </w:r>
      <w:r w:rsidRPr="001E3FFE">
        <w:rPr>
          <w:szCs w:val="22"/>
        </w:rPr>
        <w:t>at 25 TPY or more</w:t>
      </w:r>
      <w:r w:rsidRPr="00A21062">
        <w:rPr>
          <w:szCs w:val="22"/>
        </w:rPr>
        <w:t>.</w:t>
      </w:r>
      <w:r>
        <w:rPr>
          <w:szCs w:val="22"/>
        </w:rPr>
        <w:t xml:space="preserve">  HAP emissions are discussed in more detail in </w:t>
      </w:r>
      <w:r w:rsidRPr="00654566">
        <w:rPr>
          <w:b/>
          <w:szCs w:val="22"/>
        </w:rPr>
        <w:t>Subsection 3.2.2</w:t>
      </w:r>
      <w:r>
        <w:rPr>
          <w:szCs w:val="22"/>
        </w:rPr>
        <w:t xml:space="preserve"> below.</w:t>
      </w:r>
    </w:p>
    <w:p w:rsidR="00654566" w:rsidRPr="003A09B3" w:rsidRDefault="00654566" w:rsidP="003A09B3">
      <w:pPr>
        <w:pStyle w:val="ListParagraph"/>
        <w:widowControl w:val="0"/>
        <w:numPr>
          <w:ilvl w:val="2"/>
          <w:numId w:val="3"/>
        </w:numPr>
        <w:spacing w:before="120"/>
        <w:ind w:left="0" w:firstLine="0"/>
        <w:contextualSpacing w:val="0"/>
        <w:rPr>
          <w:b/>
          <w:szCs w:val="22"/>
        </w:rPr>
      </w:pPr>
      <w:r>
        <w:rPr>
          <w:szCs w:val="22"/>
          <w:u w:val="single"/>
        </w:rPr>
        <w:t>Department</w:t>
      </w:r>
      <w:r w:rsidR="0020362E" w:rsidRPr="00BF30DB">
        <w:rPr>
          <w:szCs w:val="22"/>
          <w:u w:val="single"/>
        </w:rPr>
        <w:t xml:space="preserve"> </w:t>
      </w:r>
      <w:r w:rsidR="002537FD" w:rsidRPr="00BF30DB">
        <w:rPr>
          <w:szCs w:val="22"/>
          <w:u w:val="single"/>
        </w:rPr>
        <w:t>Review</w:t>
      </w:r>
      <w:r w:rsidR="001462C4">
        <w:rPr>
          <w:szCs w:val="22"/>
        </w:rPr>
        <w:t>:</w:t>
      </w:r>
      <w:r w:rsidR="0020362E" w:rsidRPr="00BF30DB">
        <w:rPr>
          <w:szCs w:val="22"/>
        </w:rPr>
        <w:t xml:space="preserve">  The applicant provided updated calculations </w:t>
      </w:r>
      <w:r w:rsidR="00114CC1">
        <w:rPr>
          <w:szCs w:val="22"/>
        </w:rPr>
        <w:t>in the original application</w:t>
      </w:r>
      <w:r w:rsidR="00273621">
        <w:rPr>
          <w:szCs w:val="22"/>
        </w:rPr>
        <w:t xml:space="preserve"> for this permit modification</w:t>
      </w:r>
      <w:r w:rsidR="00114CC1">
        <w:rPr>
          <w:szCs w:val="22"/>
        </w:rPr>
        <w:t xml:space="preserve"> and the subsequent response to the RAI </w:t>
      </w:r>
      <w:r w:rsidR="0020362E" w:rsidRPr="00BF30DB">
        <w:rPr>
          <w:szCs w:val="22"/>
        </w:rPr>
        <w:t xml:space="preserve">to reflect the requested changes in </w:t>
      </w:r>
      <w:r w:rsidR="00273621">
        <w:rPr>
          <w:szCs w:val="22"/>
        </w:rPr>
        <w:t xml:space="preserve">the </w:t>
      </w:r>
      <w:r w:rsidR="0020362E" w:rsidRPr="00BF30DB">
        <w:rPr>
          <w:szCs w:val="22"/>
        </w:rPr>
        <w:t xml:space="preserve">operation </w:t>
      </w:r>
      <w:r w:rsidR="00273621">
        <w:rPr>
          <w:szCs w:val="22"/>
        </w:rPr>
        <w:t>of</w:t>
      </w:r>
      <w:r w:rsidR="0020362E" w:rsidRPr="00BF30DB">
        <w:rPr>
          <w:szCs w:val="22"/>
        </w:rPr>
        <w:t xml:space="preserve"> the facility.  The technical evaluation for the original permit details the </w:t>
      </w:r>
      <w:r>
        <w:rPr>
          <w:szCs w:val="22"/>
        </w:rPr>
        <w:t>Department</w:t>
      </w:r>
      <w:r w:rsidR="0020362E" w:rsidRPr="00BF30DB">
        <w:rPr>
          <w:szCs w:val="22"/>
        </w:rPr>
        <w:t xml:space="preserve"> review of the calculation approaches</w:t>
      </w:r>
      <w:r w:rsidR="001C48CE">
        <w:rPr>
          <w:szCs w:val="22"/>
        </w:rPr>
        <w:t xml:space="preserve"> for pollutant emission estimates</w:t>
      </w:r>
      <w:r w:rsidR="0020362E" w:rsidRPr="00BF30DB">
        <w:rPr>
          <w:szCs w:val="22"/>
        </w:rPr>
        <w:t xml:space="preserve">.  For the </w:t>
      </w:r>
      <w:r>
        <w:rPr>
          <w:szCs w:val="22"/>
        </w:rPr>
        <w:t>pervious permit modification and this permit</w:t>
      </w:r>
      <w:r w:rsidR="0020362E" w:rsidRPr="00BF30DB">
        <w:rPr>
          <w:szCs w:val="22"/>
        </w:rPr>
        <w:t xml:space="preserve"> modification, </w:t>
      </w:r>
      <w:r>
        <w:rPr>
          <w:szCs w:val="22"/>
        </w:rPr>
        <w:t>the Department</w:t>
      </w:r>
      <w:r w:rsidR="0020362E" w:rsidRPr="00BF30DB">
        <w:rPr>
          <w:szCs w:val="22"/>
        </w:rPr>
        <w:t xml:space="preserve"> focused on reviewing the updated and revised portions of the calculations.  Based on this review and upon discussions with the applicant and the consultant for the project, </w:t>
      </w:r>
      <w:r>
        <w:rPr>
          <w:szCs w:val="22"/>
        </w:rPr>
        <w:t>the Department</w:t>
      </w:r>
      <w:r w:rsidR="0020362E" w:rsidRPr="00BF30DB">
        <w:rPr>
          <w:szCs w:val="22"/>
        </w:rPr>
        <w:t xml:space="preserve"> is satisfied that the revised calculations demonstrate reasonable assurance that the facility can comply with the specified emissions limits and operate below the PSD emissions thresholds.</w:t>
      </w:r>
      <w:r>
        <w:rPr>
          <w:szCs w:val="22"/>
        </w:rPr>
        <w:t xml:space="preserve">  </w:t>
      </w:r>
    </w:p>
    <w:p w:rsidR="005C4363" w:rsidRDefault="00654566" w:rsidP="00654566">
      <w:pPr>
        <w:autoSpaceDE w:val="0"/>
        <w:autoSpaceDN w:val="0"/>
        <w:adjustRightInd w:val="0"/>
        <w:rPr>
          <w:szCs w:val="22"/>
        </w:rPr>
      </w:pPr>
      <w:r>
        <w:rPr>
          <w:szCs w:val="22"/>
        </w:rPr>
        <w:t>In particular, the applicant stated, “</w:t>
      </w:r>
      <w:r w:rsidRPr="00654566">
        <w:rPr>
          <w:i/>
          <w:szCs w:val="22"/>
        </w:rPr>
        <w:t>INPB has worked with its boiler vendor, Rentech, and the burner vendor, Coen, to obtain a reduced annual average NO</w:t>
      </w:r>
      <w:r w:rsidRPr="005C4363">
        <w:rPr>
          <w:i/>
          <w:szCs w:val="22"/>
          <w:vertAlign w:val="subscript"/>
        </w:rPr>
        <w:t>X</w:t>
      </w:r>
      <w:r w:rsidRPr="00654566">
        <w:rPr>
          <w:i/>
          <w:szCs w:val="22"/>
        </w:rPr>
        <w:t xml:space="preserve"> emissions guarantee for the Vent Gas Boiler’s low</w:t>
      </w:r>
      <w:r w:rsidRPr="00654566">
        <w:rPr>
          <w:rFonts w:ascii="Calibri" w:hAnsi="Calibri"/>
          <w:i/>
          <w:szCs w:val="22"/>
        </w:rPr>
        <w:t>‐</w:t>
      </w:r>
      <w:r w:rsidRPr="00654566">
        <w:rPr>
          <w:i/>
          <w:szCs w:val="22"/>
        </w:rPr>
        <w:t>NO</w:t>
      </w:r>
      <w:r w:rsidRPr="005C4363">
        <w:rPr>
          <w:i/>
          <w:szCs w:val="22"/>
          <w:vertAlign w:val="subscript"/>
        </w:rPr>
        <w:t>X</w:t>
      </w:r>
      <w:r w:rsidRPr="00654566">
        <w:rPr>
          <w:i/>
          <w:szCs w:val="22"/>
        </w:rPr>
        <w:t xml:space="preserve"> burner:  150 parts per million, dry volume (ppmdv), corrected to 7 percent oxygen (O</w:t>
      </w:r>
      <w:r w:rsidRPr="005C4363">
        <w:rPr>
          <w:i/>
          <w:szCs w:val="22"/>
          <w:vertAlign w:val="subscript"/>
        </w:rPr>
        <w:t>2</w:t>
      </w:r>
      <w:r w:rsidRPr="00654566">
        <w:rPr>
          <w:i/>
          <w:szCs w:val="22"/>
        </w:rPr>
        <w:t>), based on a 24</w:t>
      </w:r>
      <w:r w:rsidRPr="00654566">
        <w:rPr>
          <w:rFonts w:ascii="Calibri" w:hAnsi="Calibri"/>
          <w:i/>
          <w:szCs w:val="22"/>
        </w:rPr>
        <w:t>‐</w:t>
      </w:r>
      <w:r w:rsidRPr="00654566">
        <w:rPr>
          <w:i/>
          <w:szCs w:val="22"/>
        </w:rPr>
        <w:t xml:space="preserve">hour daily block arithmetic average (the current Subpart AAAA requirement and guarantee), and </w:t>
      </w:r>
      <w:r w:rsidRPr="00654566">
        <w:rPr>
          <w:rFonts w:eastAsia="Wingdings-Regular"/>
          <w:i/>
          <w:szCs w:val="22"/>
        </w:rPr>
        <w:t xml:space="preserve"> </w:t>
      </w:r>
      <w:r w:rsidRPr="00654566">
        <w:rPr>
          <w:i/>
          <w:szCs w:val="22"/>
        </w:rPr>
        <w:t>120 ppmdv, corrected to 7 percent O</w:t>
      </w:r>
      <w:r w:rsidRPr="005C4363">
        <w:rPr>
          <w:i/>
          <w:szCs w:val="22"/>
          <w:vertAlign w:val="subscript"/>
        </w:rPr>
        <w:t>2</w:t>
      </w:r>
      <w:r w:rsidRPr="00654566">
        <w:rPr>
          <w:i/>
          <w:szCs w:val="22"/>
        </w:rPr>
        <w:t>, based on a rolling 12</w:t>
      </w:r>
      <w:r w:rsidRPr="00654566">
        <w:rPr>
          <w:rFonts w:ascii="Calibri" w:hAnsi="Calibri"/>
          <w:i/>
          <w:szCs w:val="22"/>
        </w:rPr>
        <w:t>‐</w:t>
      </w:r>
      <w:r w:rsidRPr="00654566">
        <w:rPr>
          <w:i/>
          <w:szCs w:val="22"/>
        </w:rPr>
        <w:t>month average of the 24</w:t>
      </w:r>
      <w:r w:rsidRPr="00654566">
        <w:rPr>
          <w:rFonts w:ascii="Calibri" w:hAnsi="Calibri"/>
          <w:i/>
          <w:szCs w:val="22"/>
        </w:rPr>
        <w:t>‐</w:t>
      </w:r>
      <w:r w:rsidRPr="00654566">
        <w:rPr>
          <w:i/>
          <w:szCs w:val="22"/>
        </w:rPr>
        <w:t>hour daily block averages.</w:t>
      </w:r>
      <w:r>
        <w:rPr>
          <w:i/>
          <w:szCs w:val="22"/>
        </w:rPr>
        <w:t>”</w:t>
      </w:r>
      <w:r>
        <w:rPr>
          <w:szCs w:val="22"/>
        </w:rPr>
        <w:t xml:space="preserve">  </w:t>
      </w:r>
    </w:p>
    <w:p w:rsidR="0020362E" w:rsidRPr="000D6B1A" w:rsidRDefault="005C4363" w:rsidP="00654566">
      <w:pPr>
        <w:autoSpaceDE w:val="0"/>
        <w:autoSpaceDN w:val="0"/>
        <w:adjustRightInd w:val="0"/>
        <w:rPr>
          <w:szCs w:val="22"/>
        </w:rPr>
      </w:pPr>
      <w:r>
        <w:rPr>
          <w:szCs w:val="22"/>
        </w:rPr>
        <w:t>As a result of the improved NO</w:t>
      </w:r>
      <w:r w:rsidRPr="00C72153">
        <w:rPr>
          <w:szCs w:val="22"/>
          <w:vertAlign w:val="subscript"/>
        </w:rPr>
        <w:t>X</w:t>
      </w:r>
      <w:r>
        <w:rPr>
          <w:szCs w:val="22"/>
        </w:rPr>
        <w:t xml:space="preserve"> guarantee</w:t>
      </w:r>
      <w:r w:rsidR="001B2B19">
        <w:rPr>
          <w:szCs w:val="22"/>
        </w:rPr>
        <w:t xml:space="preserve"> and the reduction of H</w:t>
      </w:r>
      <w:r w:rsidR="001B2B19" w:rsidRPr="001B2B19">
        <w:rPr>
          <w:szCs w:val="22"/>
          <w:vertAlign w:val="subscript"/>
        </w:rPr>
        <w:t>2</w:t>
      </w:r>
      <w:r w:rsidR="001B2B19">
        <w:rPr>
          <w:szCs w:val="22"/>
        </w:rPr>
        <w:t>S in syngas and off gas</w:t>
      </w:r>
      <w:r>
        <w:rPr>
          <w:szCs w:val="22"/>
        </w:rPr>
        <w:t>,</w:t>
      </w:r>
      <w:r w:rsidR="00654566">
        <w:rPr>
          <w:szCs w:val="22"/>
        </w:rPr>
        <w:t xml:space="preserve"> NO</w:t>
      </w:r>
      <w:r w:rsidR="00654566" w:rsidRPr="005C4363">
        <w:rPr>
          <w:szCs w:val="22"/>
          <w:vertAlign w:val="subscript"/>
        </w:rPr>
        <w:t>X</w:t>
      </w:r>
      <w:r w:rsidR="00654566">
        <w:rPr>
          <w:szCs w:val="22"/>
        </w:rPr>
        <w:t xml:space="preserve"> emission</w:t>
      </w:r>
      <w:r w:rsidR="00C72153">
        <w:rPr>
          <w:szCs w:val="22"/>
        </w:rPr>
        <w:t>s</w:t>
      </w:r>
      <w:r w:rsidR="00654566">
        <w:rPr>
          <w:szCs w:val="22"/>
        </w:rPr>
        <w:t xml:space="preserve"> </w:t>
      </w:r>
      <w:r>
        <w:rPr>
          <w:szCs w:val="22"/>
        </w:rPr>
        <w:t xml:space="preserve">have </w:t>
      </w:r>
      <w:r w:rsidR="00654566">
        <w:rPr>
          <w:szCs w:val="22"/>
        </w:rPr>
        <w:t xml:space="preserve">decrease </w:t>
      </w:r>
      <w:r>
        <w:rPr>
          <w:szCs w:val="22"/>
        </w:rPr>
        <w:t xml:space="preserve">by </w:t>
      </w:r>
      <w:r w:rsidR="00FA2341">
        <w:rPr>
          <w:szCs w:val="22"/>
        </w:rPr>
        <w:t>-</w:t>
      </w:r>
      <w:r w:rsidR="00AE6C1A">
        <w:rPr>
          <w:szCs w:val="22"/>
        </w:rPr>
        <w:t>12.51</w:t>
      </w:r>
      <w:r w:rsidR="00654566">
        <w:rPr>
          <w:szCs w:val="22"/>
        </w:rPr>
        <w:t xml:space="preserve"> TPY from the vent gas boiler</w:t>
      </w:r>
      <w:r>
        <w:rPr>
          <w:szCs w:val="22"/>
        </w:rPr>
        <w:t xml:space="preserve"> </w:t>
      </w:r>
      <w:r w:rsidR="0014450B">
        <w:rPr>
          <w:szCs w:val="22"/>
        </w:rPr>
        <w:t>even with</w:t>
      </w:r>
      <w:r>
        <w:rPr>
          <w:szCs w:val="22"/>
        </w:rPr>
        <w:t xml:space="preserve"> the burner heat input increase allowed by this permit modification.  However, estimated CO emissions have gone up </w:t>
      </w:r>
      <w:r w:rsidR="00FA2341">
        <w:rPr>
          <w:szCs w:val="22"/>
        </w:rPr>
        <w:t>+</w:t>
      </w:r>
      <w:r w:rsidR="00AE6C1A">
        <w:rPr>
          <w:szCs w:val="22"/>
        </w:rPr>
        <w:t>1.09</w:t>
      </w:r>
      <w:r>
        <w:rPr>
          <w:szCs w:val="22"/>
        </w:rPr>
        <w:t xml:space="preserve"> TPY</w:t>
      </w:r>
      <w:r w:rsidR="00654566">
        <w:rPr>
          <w:szCs w:val="22"/>
        </w:rPr>
        <w:t>.</w:t>
      </w:r>
      <w:r>
        <w:rPr>
          <w:szCs w:val="22"/>
        </w:rPr>
        <w:t xml:space="preserve">  Other </w:t>
      </w:r>
      <w:r w:rsidR="00C72153">
        <w:rPr>
          <w:szCs w:val="22"/>
        </w:rPr>
        <w:t>changes in emissions as a result of th</w:t>
      </w:r>
      <w:r w:rsidR="0014450B">
        <w:rPr>
          <w:szCs w:val="22"/>
        </w:rPr>
        <w:t>e burner size increase</w:t>
      </w:r>
      <w:r w:rsidR="00C72153">
        <w:rPr>
          <w:szCs w:val="22"/>
        </w:rPr>
        <w:t xml:space="preserve"> </w:t>
      </w:r>
      <w:r w:rsidR="00FA2341">
        <w:rPr>
          <w:szCs w:val="22"/>
        </w:rPr>
        <w:t>and H</w:t>
      </w:r>
      <w:r w:rsidR="00FA2341" w:rsidRPr="00FA2341">
        <w:rPr>
          <w:szCs w:val="22"/>
          <w:vertAlign w:val="subscript"/>
        </w:rPr>
        <w:t>2</w:t>
      </w:r>
      <w:r w:rsidR="00FA2341">
        <w:rPr>
          <w:szCs w:val="22"/>
        </w:rPr>
        <w:t xml:space="preserve">S reduction </w:t>
      </w:r>
      <w:r w:rsidR="00C72153">
        <w:rPr>
          <w:szCs w:val="22"/>
        </w:rPr>
        <w:t>are:  -</w:t>
      </w:r>
      <w:r w:rsidR="00FA2341">
        <w:rPr>
          <w:szCs w:val="22"/>
        </w:rPr>
        <w:t>36.52</w:t>
      </w:r>
      <w:r w:rsidR="00C72153">
        <w:rPr>
          <w:szCs w:val="22"/>
        </w:rPr>
        <w:t xml:space="preserve"> TPY SO</w:t>
      </w:r>
      <w:r w:rsidR="00C72153" w:rsidRPr="00C72153">
        <w:rPr>
          <w:szCs w:val="22"/>
          <w:vertAlign w:val="subscript"/>
        </w:rPr>
        <w:t>2</w:t>
      </w:r>
      <w:r w:rsidR="00C72153">
        <w:rPr>
          <w:szCs w:val="22"/>
        </w:rPr>
        <w:t xml:space="preserve">; + </w:t>
      </w:r>
      <w:r w:rsidR="00FA2341">
        <w:rPr>
          <w:szCs w:val="22"/>
        </w:rPr>
        <w:t>+0.53</w:t>
      </w:r>
      <w:r w:rsidR="00C72153">
        <w:rPr>
          <w:szCs w:val="22"/>
        </w:rPr>
        <w:t xml:space="preserve"> TPY VOC; and </w:t>
      </w:r>
      <w:r w:rsidR="00FA2341">
        <w:rPr>
          <w:szCs w:val="22"/>
        </w:rPr>
        <w:t>+0.44</w:t>
      </w:r>
      <w:r w:rsidR="00C72153">
        <w:rPr>
          <w:szCs w:val="22"/>
        </w:rPr>
        <w:t xml:space="preserve"> TPY PM</w:t>
      </w:r>
      <w:r w:rsidR="00C72153" w:rsidRPr="00C72153">
        <w:rPr>
          <w:szCs w:val="22"/>
          <w:vertAlign w:val="subscript"/>
        </w:rPr>
        <w:t>10</w:t>
      </w:r>
      <w:r w:rsidR="00C72153">
        <w:rPr>
          <w:szCs w:val="22"/>
        </w:rPr>
        <w:t>/PM</w:t>
      </w:r>
      <w:r w:rsidR="00C72153" w:rsidRPr="00C72153">
        <w:rPr>
          <w:szCs w:val="22"/>
          <w:vertAlign w:val="subscript"/>
        </w:rPr>
        <w:t>2.5</w:t>
      </w:r>
      <w:r w:rsidR="00C72153">
        <w:rPr>
          <w:szCs w:val="22"/>
        </w:rPr>
        <w:t>.  The decrease in SO</w:t>
      </w:r>
      <w:r w:rsidR="00C72153" w:rsidRPr="00C72153">
        <w:rPr>
          <w:szCs w:val="22"/>
          <w:vertAlign w:val="subscript"/>
        </w:rPr>
        <w:t>2</w:t>
      </w:r>
      <w:r w:rsidR="00C72153">
        <w:rPr>
          <w:szCs w:val="22"/>
        </w:rPr>
        <w:t xml:space="preserve"> emissions is discussed further below while discussing HAP emissions.</w:t>
      </w:r>
      <w:r>
        <w:rPr>
          <w:szCs w:val="22"/>
        </w:rPr>
        <w:t xml:space="preserve"> </w:t>
      </w:r>
      <w:r w:rsidR="00C72153">
        <w:rPr>
          <w:szCs w:val="22"/>
        </w:rPr>
        <w:t xml:space="preserve"> </w:t>
      </w:r>
      <w:r w:rsidR="008C6488">
        <w:rPr>
          <w:szCs w:val="22"/>
        </w:rPr>
        <w:t>Emission increase</w:t>
      </w:r>
      <w:r w:rsidR="00FA2341">
        <w:rPr>
          <w:szCs w:val="22"/>
        </w:rPr>
        <w:t>s</w:t>
      </w:r>
      <w:r w:rsidR="008C6488">
        <w:rPr>
          <w:szCs w:val="22"/>
        </w:rPr>
        <w:t xml:space="preserve"> resulting from the increase in the operational hours of the syngas flare from 300 to </w:t>
      </w:r>
      <w:r w:rsidR="00AE6C1A">
        <w:rPr>
          <w:szCs w:val="22"/>
        </w:rPr>
        <w:t>640</w:t>
      </w:r>
      <w:r w:rsidR="008C6488">
        <w:rPr>
          <w:szCs w:val="22"/>
        </w:rPr>
        <w:t xml:space="preserve"> hours</w:t>
      </w:r>
      <w:r w:rsidR="00AE6C1A">
        <w:rPr>
          <w:szCs w:val="22"/>
        </w:rPr>
        <w:t xml:space="preserve"> (</w:t>
      </w:r>
      <w:r w:rsidR="00AE6C1A" w:rsidRPr="008C6488">
        <w:rPr>
          <w:szCs w:val="22"/>
        </w:rPr>
        <w:t xml:space="preserve">232.6 </w:t>
      </w:r>
      <w:r w:rsidR="00FA2341">
        <w:rPr>
          <w:szCs w:val="22"/>
        </w:rPr>
        <w:t>mm</w:t>
      </w:r>
      <w:r w:rsidR="00AE6C1A">
        <w:rPr>
          <w:szCs w:val="22"/>
        </w:rPr>
        <w:t>scf/yr</w:t>
      </w:r>
      <w:r w:rsidR="00AE6C1A" w:rsidRPr="008C6488">
        <w:rPr>
          <w:szCs w:val="22"/>
        </w:rPr>
        <w:t xml:space="preserve"> </w:t>
      </w:r>
      <w:r w:rsidR="00DA24CB">
        <w:rPr>
          <w:szCs w:val="22"/>
        </w:rPr>
        <w:t xml:space="preserve">of syngas </w:t>
      </w:r>
      <w:r w:rsidR="00AE6C1A" w:rsidRPr="008C6488">
        <w:rPr>
          <w:szCs w:val="22"/>
        </w:rPr>
        <w:t xml:space="preserve">to </w:t>
      </w:r>
      <w:r w:rsidR="00FA2341">
        <w:rPr>
          <w:szCs w:val="22"/>
        </w:rPr>
        <w:t>496.2</w:t>
      </w:r>
      <w:r w:rsidR="00AE6C1A" w:rsidRPr="008C6488">
        <w:rPr>
          <w:szCs w:val="22"/>
        </w:rPr>
        <w:t xml:space="preserve"> </w:t>
      </w:r>
      <w:r w:rsidR="00FA2341">
        <w:rPr>
          <w:szCs w:val="22"/>
        </w:rPr>
        <w:t>mm</w:t>
      </w:r>
      <w:r w:rsidR="00AE6C1A">
        <w:rPr>
          <w:szCs w:val="22"/>
        </w:rPr>
        <w:t>scf/yr</w:t>
      </w:r>
      <w:r w:rsidR="00FA2341">
        <w:rPr>
          <w:szCs w:val="22"/>
        </w:rPr>
        <w:t>) are: NO</w:t>
      </w:r>
      <w:r w:rsidR="00FA2341" w:rsidRPr="00FA2341">
        <w:rPr>
          <w:szCs w:val="22"/>
          <w:vertAlign w:val="subscript"/>
        </w:rPr>
        <w:t>X</w:t>
      </w:r>
      <w:r w:rsidR="00FA2341">
        <w:rPr>
          <w:szCs w:val="22"/>
        </w:rPr>
        <w:t xml:space="preserve"> +1.17 TPY; CO +22.22 TPY; SO</w:t>
      </w:r>
      <w:r w:rsidR="00FA2341" w:rsidRPr="00FA2341">
        <w:rPr>
          <w:szCs w:val="22"/>
          <w:vertAlign w:val="subscript"/>
        </w:rPr>
        <w:t>2</w:t>
      </w:r>
      <w:r w:rsidR="00FA2341">
        <w:rPr>
          <w:szCs w:val="22"/>
        </w:rPr>
        <w:t xml:space="preserve"> +7.71 TPY; VOC +1.45; and PM</w:t>
      </w:r>
      <w:r w:rsidR="00FA2341" w:rsidRPr="00FA2341">
        <w:rPr>
          <w:szCs w:val="22"/>
          <w:vertAlign w:val="subscript"/>
        </w:rPr>
        <w:t>10</w:t>
      </w:r>
      <w:r w:rsidR="00FA2341">
        <w:rPr>
          <w:szCs w:val="22"/>
        </w:rPr>
        <w:t>/PM</w:t>
      </w:r>
      <w:r w:rsidR="00FA2341" w:rsidRPr="00FA2341">
        <w:rPr>
          <w:szCs w:val="22"/>
          <w:vertAlign w:val="subscript"/>
        </w:rPr>
        <w:t>2.5</w:t>
      </w:r>
      <w:r w:rsidR="00FA2341">
        <w:rPr>
          <w:szCs w:val="22"/>
        </w:rPr>
        <w:t xml:space="preserve"> 7.1 TPY</w:t>
      </w:r>
      <w:r w:rsidR="00264C16">
        <w:rPr>
          <w:szCs w:val="22"/>
        </w:rPr>
        <w:t xml:space="preserve">.  </w:t>
      </w:r>
      <w:r w:rsidR="005709FF">
        <w:rPr>
          <w:szCs w:val="22"/>
        </w:rPr>
        <w:t xml:space="preserve">Emission increases or decreases resulting from changes to emergency equipment are all insignificant (&lt;&lt;1.0 TPY).  </w:t>
      </w:r>
      <w:r w:rsidR="00DA24CB">
        <w:rPr>
          <w:szCs w:val="22"/>
        </w:rPr>
        <w:t>Overall pollutants emissions as a result of this modification will change as follows:</w:t>
      </w:r>
      <w:r w:rsidR="00DA24CB" w:rsidRPr="00DA24CB">
        <w:rPr>
          <w:bCs/>
          <w:szCs w:val="22"/>
        </w:rPr>
        <w:t xml:space="preserve">  </w:t>
      </w:r>
      <w:r w:rsidR="00DA24CB">
        <w:rPr>
          <w:bCs/>
          <w:szCs w:val="22"/>
        </w:rPr>
        <w:t>CO</w:t>
      </w:r>
      <w:r w:rsidR="00DA24CB" w:rsidRPr="00DA24CB">
        <w:rPr>
          <w:bCs/>
          <w:szCs w:val="22"/>
        </w:rPr>
        <w:t xml:space="preserve">+22.5 TPY; </w:t>
      </w:r>
      <w:r w:rsidR="00DA24CB">
        <w:rPr>
          <w:bCs/>
          <w:szCs w:val="22"/>
        </w:rPr>
        <w:t>NO</w:t>
      </w:r>
      <w:r w:rsidR="00DA24CB" w:rsidRPr="00DA24CB">
        <w:rPr>
          <w:bCs/>
          <w:szCs w:val="22"/>
          <w:vertAlign w:val="subscript"/>
        </w:rPr>
        <w:t>X</w:t>
      </w:r>
      <w:r w:rsidR="00DA24CB">
        <w:rPr>
          <w:bCs/>
          <w:szCs w:val="22"/>
        </w:rPr>
        <w:t xml:space="preserve"> </w:t>
      </w:r>
      <w:r w:rsidR="00DA24CB" w:rsidRPr="00DA24CB">
        <w:rPr>
          <w:bCs/>
          <w:szCs w:val="22"/>
        </w:rPr>
        <w:t>-11.9</w:t>
      </w:r>
      <w:r w:rsidR="00DA24CB">
        <w:rPr>
          <w:bCs/>
          <w:szCs w:val="22"/>
        </w:rPr>
        <w:t xml:space="preserve"> </w:t>
      </w:r>
      <w:r w:rsidR="00DA24CB" w:rsidRPr="00DA24CB">
        <w:rPr>
          <w:bCs/>
          <w:szCs w:val="22"/>
        </w:rPr>
        <w:t xml:space="preserve">TPY; </w:t>
      </w:r>
      <w:r w:rsidR="005709FF">
        <w:rPr>
          <w:bCs/>
          <w:szCs w:val="22"/>
        </w:rPr>
        <w:t>SO</w:t>
      </w:r>
      <w:r w:rsidR="005709FF" w:rsidRPr="005709FF">
        <w:rPr>
          <w:bCs/>
          <w:szCs w:val="22"/>
          <w:vertAlign w:val="subscript"/>
        </w:rPr>
        <w:t>2</w:t>
      </w:r>
      <w:r w:rsidR="005709FF">
        <w:rPr>
          <w:bCs/>
          <w:szCs w:val="22"/>
        </w:rPr>
        <w:t xml:space="preserve"> </w:t>
      </w:r>
      <w:r w:rsidR="005709FF" w:rsidRPr="00DA24CB">
        <w:rPr>
          <w:bCs/>
          <w:szCs w:val="22"/>
        </w:rPr>
        <w:t>-28.8 TPY;</w:t>
      </w:r>
      <w:r w:rsidR="005709FF">
        <w:rPr>
          <w:bCs/>
          <w:szCs w:val="22"/>
        </w:rPr>
        <w:t xml:space="preserve"> </w:t>
      </w:r>
      <w:r w:rsidR="00DA24CB">
        <w:rPr>
          <w:bCs/>
          <w:szCs w:val="22"/>
        </w:rPr>
        <w:t>PM</w:t>
      </w:r>
      <w:r w:rsidR="00DA24CB" w:rsidRPr="00DA24CB">
        <w:rPr>
          <w:bCs/>
          <w:szCs w:val="22"/>
          <w:vertAlign w:val="subscript"/>
        </w:rPr>
        <w:t>10</w:t>
      </w:r>
      <w:r w:rsidR="00DA24CB">
        <w:rPr>
          <w:bCs/>
          <w:szCs w:val="22"/>
        </w:rPr>
        <w:t>/PM</w:t>
      </w:r>
      <w:r w:rsidR="00DA24CB" w:rsidRPr="00DA24CB">
        <w:rPr>
          <w:bCs/>
          <w:szCs w:val="22"/>
          <w:vertAlign w:val="subscript"/>
        </w:rPr>
        <w:t>2.5</w:t>
      </w:r>
      <w:r w:rsidR="00DA24CB" w:rsidRPr="00DA24CB">
        <w:rPr>
          <w:bCs/>
          <w:szCs w:val="22"/>
        </w:rPr>
        <w:t xml:space="preserve"> +4.7 TPY</w:t>
      </w:r>
      <w:r w:rsidR="005709FF">
        <w:rPr>
          <w:bCs/>
          <w:szCs w:val="22"/>
        </w:rPr>
        <w:t>; and</w:t>
      </w:r>
      <w:r w:rsidR="00DA24CB" w:rsidRPr="00DA24CB">
        <w:rPr>
          <w:bCs/>
          <w:szCs w:val="22"/>
        </w:rPr>
        <w:t xml:space="preserve"> </w:t>
      </w:r>
      <w:r w:rsidR="005709FF">
        <w:rPr>
          <w:bCs/>
          <w:szCs w:val="22"/>
        </w:rPr>
        <w:t xml:space="preserve">VOC </w:t>
      </w:r>
      <w:r w:rsidR="00DA24CB" w:rsidRPr="00DA24CB">
        <w:rPr>
          <w:bCs/>
          <w:szCs w:val="22"/>
        </w:rPr>
        <w:t>+8.5 T</w:t>
      </w:r>
      <w:r w:rsidR="005709FF">
        <w:rPr>
          <w:bCs/>
          <w:szCs w:val="22"/>
        </w:rPr>
        <w:t>PY.</w:t>
      </w:r>
      <w:r w:rsidR="005709FF">
        <w:rPr>
          <w:szCs w:val="22"/>
        </w:rPr>
        <w:t xml:space="preserve">  </w:t>
      </w:r>
    </w:p>
    <w:p w:rsidR="0020362E" w:rsidRPr="00DB5D51" w:rsidRDefault="0020362E" w:rsidP="00DB5D51">
      <w:pPr>
        <w:autoSpaceDE w:val="0"/>
        <w:autoSpaceDN w:val="0"/>
        <w:adjustRightInd w:val="0"/>
        <w:rPr>
          <w:szCs w:val="22"/>
        </w:rPr>
      </w:pPr>
      <w:r w:rsidRPr="00BF30DB">
        <w:rPr>
          <w:szCs w:val="22"/>
        </w:rPr>
        <w:t xml:space="preserve">One important difference in the estimated facility-wide emissions rates concerns </w:t>
      </w:r>
      <w:r w:rsidR="0014450B">
        <w:rPr>
          <w:szCs w:val="22"/>
        </w:rPr>
        <w:t xml:space="preserve">the HAP </w:t>
      </w:r>
      <w:r w:rsidR="00273621">
        <w:rPr>
          <w:szCs w:val="22"/>
        </w:rPr>
        <w:t>hydrogen chloride (</w:t>
      </w:r>
      <w:r w:rsidRPr="00BF30DB">
        <w:rPr>
          <w:szCs w:val="22"/>
        </w:rPr>
        <w:t>HCl</w:t>
      </w:r>
      <w:r w:rsidR="00273621">
        <w:rPr>
          <w:szCs w:val="22"/>
        </w:rPr>
        <w:t>)</w:t>
      </w:r>
      <w:r w:rsidRPr="00BF30DB">
        <w:rPr>
          <w:szCs w:val="22"/>
        </w:rPr>
        <w:t xml:space="preserve">.  </w:t>
      </w:r>
      <w:r w:rsidR="00654566">
        <w:rPr>
          <w:szCs w:val="22"/>
        </w:rPr>
        <w:t>After the previous permit modification</w:t>
      </w:r>
      <w:r w:rsidR="0014450B">
        <w:rPr>
          <w:szCs w:val="22"/>
        </w:rPr>
        <w:t>,</w:t>
      </w:r>
      <w:r w:rsidR="00654566">
        <w:rPr>
          <w:szCs w:val="22"/>
        </w:rPr>
        <w:t xml:space="preserve"> HC</w:t>
      </w:r>
      <w:r w:rsidR="0014450B">
        <w:rPr>
          <w:szCs w:val="22"/>
        </w:rPr>
        <w:t>l</w:t>
      </w:r>
      <w:r w:rsidR="00654566">
        <w:rPr>
          <w:szCs w:val="22"/>
        </w:rPr>
        <w:t xml:space="preserve"> emissions were estimated to be 13.43 TPY making the facility a major source of HAP e</w:t>
      </w:r>
      <w:r w:rsidRPr="00BF30DB">
        <w:rPr>
          <w:szCs w:val="22"/>
        </w:rPr>
        <w:t>missions</w:t>
      </w:r>
      <w:r w:rsidR="00DB5D51">
        <w:rPr>
          <w:szCs w:val="22"/>
        </w:rPr>
        <w:t>.  However</w:t>
      </w:r>
      <w:r w:rsidR="005A489C">
        <w:rPr>
          <w:szCs w:val="22"/>
        </w:rPr>
        <w:t>,</w:t>
      </w:r>
      <w:r w:rsidR="00DB5D51">
        <w:rPr>
          <w:szCs w:val="22"/>
        </w:rPr>
        <w:t xml:space="preserve"> in its application INPB stated, </w:t>
      </w:r>
      <w:r w:rsidR="00DB5D51" w:rsidRPr="00DB5D51">
        <w:rPr>
          <w:i/>
          <w:szCs w:val="22"/>
        </w:rPr>
        <w:t>“The APC equipment for the Vent Gas Boiler flue gas is unchanged from that in the current Permit No. 0610096</w:t>
      </w:r>
      <w:r w:rsidR="00DB5D51" w:rsidRPr="00DB5D51">
        <w:rPr>
          <w:rFonts w:ascii="Calibri" w:hAnsi="Calibri"/>
          <w:i/>
          <w:szCs w:val="22"/>
        </w:rPr>
        <w:t>‐</w:t>
      </w:r>
      <w:r w:rsidR="00DB5D51" w:rsidRPr="00DB5D51">
        <w:rPr>
          <w:i/>
          <w:szCs w:val="22"/>
        </w:rPr>
        <w:t>002</w:t>
      </w:r>
      <w:r w:rsidR="00DB5D51" w:rsidRPr="00DB5D51">
        <w:rPr>
          <w:rFonts w:ascii="Calibri" w:hAnsi="Calibri"/>
          <w:i/>
          <w:szCs w:val="22"/>
        </w:rPr>
        <w:t>‐</w:t>
      </w:r>
      <w:r w:rsidR="00DB5D51" w:rsidRPr="00DB5D51">
        <w:rPr>
          <w:i/>
          <w:szCs w:val="22"/>
        </w:rPr>
        <w:t>AC: sodium bicarbonate injection followed by a fabric filter, for the control of sulfur dioxide (SO</w:t>
      </w:r>
      <w:r w:rsidR="00DB5D51" w:rsidRPr="00DB5D51">
        <w:rPr>
          <w:i/>
          <w:szCs w:val="22"/>
          <w:vertAlign w:val="subscript"/>
        </w:rPr>
        <w:t>2</w:t>
      </w:r>
      <w:r w:rsidR="00DB5D51" w:rsidRPr="00DB5D51">
        <w:rPr>
          <w:i/>
          <w:szCs w:val="22"/>
        </w:rPr>
        <w:t xml:space="preserve">), HCl, and particulate matter (PM) emissions.  </w:t>
      </w:r>
      <w:r w:rsidR="0014450B">
        <w:rPr>
          <w:i/>
          <w:szCs w:val="22"/>
        </w:rPr>
        <w:t>H</w:t>
      </w:r>
      <w:r w:rsidR="00DB5D51" w:rsidRPr="00DB5D51">
        <w:rPr>
          <w:i/>
          <w:szCs w:val="22"/>
        </w:rPr>
        <w:t>owever, better process information on inlet HCl concentrations to the Vent Gas Boiler has allowed the vendor, Filter Designs, to improve their performance guarantee to:  10 ppmdv, corrected to 7 percent O</w:t>
      </w:r>
      <w:r w:rsidR="00DB5D51" w:rsidRPr="00DB5D51">
        <w:rPr>
          <w:i/>
          <w:szCs w:val="22"/>
          <w:vertAlign w:val="subscript"/>
        </w:rPr>
        <w:t>2</w:t>
      </w:r>
      <w:r w:rsidR="00DB5D51" w:rsidRPr="00DB5D51">
        <w:rPr>
          <w:i/>
          <w:szCs w:val="22"/>
        </w:rPr>
        <w:t>, or 95 percent reduction, whichever is less stringent.”</w:t>
      </w:r>
      <w:r w:rsidR="00DB5D51">
        <w:rPr>
          <w:i/>
          <w:szCs w:val="22"/>
        </w:rPr>
        <w:t xml:space="preserve">  </w:t>
      </w:r>
      <w:r w:rsidR="0014450B">
        <w:rPr>
          <w:szCs w:val="22"/>
        </w:rPr>
        <w:t>As a result of this improved performance guarantee</w:t>
      </w:r>
      <w:r w:rsidR="00DB5D51">
        <w:rPr>
          <w:szCs w:val="22"/>
        </w:rPr>
        <w:t>, the overall estimated HC</w:t>
      </w:r>
      <w:r w:rsidR="0014450B">
        <w:rPr>
          <w:szCs w:val="22"/>
        </w:rPr>
        <w:t>l</w:t>
      </w:r>
      <w:r w:rsidR="00DB5D51">
        <w:rPr>
          <w:szCs w:val="22"/>
        </w:rPr>
        <w:t xml:space="preserve"> emissions </w:t>
      </w:r>
      <w:r w:rsidR="0014450B">
        <w:rPr>
          <w:szCs w:val="22"/>
        </w:rPr>
        <w:t>from the vent gas boiler have come down from 11.</w:t>
      </w:r>
      <w:r w:rsidR="00255B7B">
        <w:rPr>
          <w:szCs w:val="22"/>
        </w:rPr>
        <w:t>18</w:t>
      </w:r>
      <w:r w:rsidR="0014450B">
        <w:rPr>
          <w:szCs w:val="22"/>
        </w:rPr>
        <w:t xml:space="preserve"> TPY to </w:t>
      </w:r>
      <w:r w:rsidR="003A5A42">
        <w:rPr>
          <w:szCs w:val="22"/>
        </w:rPr>
        <w:t>4.76</w:t>
      </w:r>
      <w:r w:rsidR="0014450B">
        <w:rPr>
          <w:szCs w:val="22"/>
        </w:rPr>
        <w:t xml:space="preserve"> TPY</w:t>
      </w:r>
      <w:r w:rsidR="003A5A42">
        <w:rPr>
          <w:szCs w:val="22"/>
        </w:rPr>
        <w:t>, while HCl emission from the flare have increase</w:t>
      </w:r>
      <w:r w:rsidR="00651011">
        <w:rPr>
          <w:szCs w:val="22"/>
        </w:rPr>
        <w:t>d</w:t>
      </w:r>
      <w:r w:rsidR="003A5A42">
        <w:rPr>
          <w:szCs w:val="22"/>
        </w:rPr>
        <w:t xml:space="preserve"> from 2.25 to 4.80 TPY</w:t>
      </w:r>
      <w:r w:rsidR="00273621">
        <w:rPr>
          <w:szCs w:val="22"/>
        </w:rPr>
        <w:t xml:space="preserve"> due to the increase in operational hours</w:t>
      </w:r>
      <w:r w:rsidR="003A5A42">
        <w:rPr>
          <w:szCs w:val="22"/>
        </w:rPr>
        <w:t xml:space="preserve"> </w:t>
      </w:r>
      <w:r w:rsidR="0014450B">
        <w:rPr>
          <w:szCs w:val="22"/>
        </w:rPr>
        <w:t xml:space="preserve">.  Consequently, HCl </w:t>
      </w:r>
      <w:r w:rsidR="0014450B">
        <w:rPr>
          <w:szCs w:val="22"/>
        </w:rPr>
        <w:lastRenderedPageBreak/>
        <w:t>emissions from the overall</w:t>
      </w:r>
      <w:r w:rsidR="00DB5D51">
        <w:rPr>
          <w:szCs w:val="22"/>
        </w:rPr>
        <w:t xml:space="preserve"> facility are now </w:t>
      </w:r>
      <w:r w:rsidR="003A5A42">
        <w:rPr>
          <w:szCs w:val="22"/>
        </w:rPr>
        <w:t>9.56</w:t>
      </w:r>
      <w:r w:rsidR="00DB5D51">
        <w:rPr>
          <w:szCs w:val="22"/>
        </w:rPr>
        <w:t xml:space="preserve"> TPY </w:t>
      </w:r>
      <w:r w:rsidR="005A489C">
        <w:rPr>
          <w:szCs w:val="22"/>
        </w:rPr>
        <w:t xml:space="preserve">instead of 13.43 TPY </w:t>
      </w:r>
      <w:r w:rsidR="00DB5D51">
        <w:rPr>
          <w:szCs w:val="22"/>
        </w:rPr>
        <w:t>making the facility a minor source of HAP.  A co-benefit of the improved HC</w:t>
      </w:r>
      <w:r w:rsidR="0014450B">
        <w:rPr>
          <w:szCs w:val="22"/>
        </w:rPr>
        <w:t>l</w:t>
      </w:r>
      <w:r w:rsidR="00DB5D51">
        <w:rPr>
          <w:szCs w:val="22"/>
        </w:rPr>
        <w:t xml:space="preserve"> reduction from the sodium bicarbonate injections system is </w:t>
      </w:r>
      <w:r w:rsidR="0014450B">
        <w:rPr>
          <w:szCs w:val="22"/>
        </w:rPr>
        <w:t>that</w:t>
      </w:r>
      <w:r w:rsidR="00DB5D51">
        <w:rPr>
          <w:szCs w:val="22"/>
        </w:rPr>
        <w:t xml:space="preserve"> </w:t>
      </w:r>
      <w:r w:rsidR="00273621">
        <w:rPr>
          <w:szCs w:val="22"/>
        </w:rPr>
        <w:t>in conjunction with the reduced H</w:t>
      </w:r>
      <w:r w:rsidR="00273621" w:rsidRPr="00273621">
        <w:rPr>
          <w:szCs w:val="22"/>
          <w:vertAlign w:val="subscript"/>
        </w:rPr>
        <w:t>2</w:t>
      </w:r>
      <w:r w:rsidR="00273621">
        <w:rPr>
          <w:szCs w:val="22"/>
        </w:rPr>
        <w:t xml:space="preserve">S in the syngas and off gas, </w:t>
      </w:r>
      <w:r w:rsidR="00DB5D51">
        <w:rPr>
          <w:szCs w:val="22"/>
        </w:rPr>
        <w:t>SO</w:t>
      </w:r>
      <w:r w:rsidR="00DB5D51" w:rsidRPr="0014450B">
        <w:rPr>
          <w:szCs w:val="22"/>
          <w:vertAlign w:val="subscript"/>
        </w:rPr>
        <w:t>2</w:t>
      </w:r>
      <w:r w:rsidR="00DB5D51">
        <w:rPr>
          <w:szCs w:val="22"/>
        </w:rPr>
        <w:t xml:space="preserve"> emissions from the ve</w:t>
      </w:r>
      <w:r w:rsidR="0014450B">
        <w:rPr>
          <w:szCs w:val="22"/>
        </w:rPr>
        <w:t>n</w:t>
      </w:r>
      <w:r w:rsidR="00DB5D51">
        <w:rPr>
          <w:szCs w:val="22"/>
        </w:rPr>
        <w:t>t gas boiler</w:t>
      </w:r>
      <w:r w:rsidR="0014450B">
        <w:rPr>
          <w:szCs w:val="22"/>
        </w:rPr>
        <w:t xml:space="preserve"> have been reduced by </w:t>
      </w:r>
      <w:r w:rsidR="003A5A42">
        <w:rPr>
          <w:szCs w:val="22"/>
        </w:rPr>
        <w:t>36.52</w:t>
      </w:r>
      <w:r w:rsidR="0014450B">
        <w:rPr>
          <w:szCs w:val="22"/>
        </w:rPr>
        <w:t xml:space="preserve"> TPY</w:t>
      </w:r>
      <w:r w:rsidR="000D6B1A">
        <w:rPr>
          <w:szCs w:val="22"/>
        </w:rPr>
        <w:t xml:space="preserve"> </w:t>
      </w:r>
      <w:r w:rsidR="003A5A42">
        <w:rPr>
          <w:szCs w:val="22"/>
        </w:rPr>
        <w:t>more than</w:t>
      </w:r>
      <w:r w:rsidR="000D6B1A">
        <w:rPr>
          <w:szCs w:val="22"/>
        </w:rPr>
        <w:t xml:space="preserve"> offsetting the increase from the syngas flare</w:t>
      </w:r>
      <w:r w:rsidR="003A5A42">
        <w:rPr>
          <w:szCs w:val="22"/>
        </w:rPr>
        <w:t xml:space="preserve"> of 7.71 TPY</w:t>
      </w:r>
      <w:r w:rsidR="00DB5D51">
        <w:rPr>
          <w:szCs w:val="22"/>
        </w:rPr>
        <w:t>.</w:t>
      </w:r>
    </w:p>
    <w:p w:rsidR="0020362E" w:rsidRDefault="00DB5D51" w:rsidP="001F2E6C">
      <w:pPr>
        <w:rPr>
          <w:szCs w:val="22"/>
        </w:rPr>
      </w:pPr>
      <w:r>
        <w:rPr>
          <w:szCs w:val="22"/>
        </w:rPr>
        <w:t xml:space="preserve">Even with the change in </w:t>
      </w:r>
      <w:r w:rsidR="0014450B">
        <w:rPr>
          <w:szCs w:val="22"/>
        </w:rPr>
        <w:t>the HAP</w:t>
      </w:r>
      <w:r>
        <w:rPr>
          <w:szCs w:val="22"/>
        </w:rPr>
        <w:t xml:space="preserve"> emission status from a major to minor source, the</w:t>
      </w:r>
      <w:r w:rsidR="0020362E" w:rsidRPr="00BF30DB">
        <w:rPr>
          <w:szCs w:val="22"/>
        </w:rPr>
        <w:t xml:space="preserve"> facility is </w:t>
      </w:r>
      <w:r>
        <w:rPr>
          <w:szCs w:val="22"/>
        </w:rPr>
        <w:t>still</w:t>
      </w:r>
      <w:r w:rsidR="0020362E" w:rsidRPr="00BF30DB">
        <w:rPr>
          <w:szCs w:val="22"/>
        </w:rPr>
        <w:t xml:space="preserve"> classified a Title V facility because it is subject to 40 C.F.R. part 60, subpart AAAA—the NSPS for small municipal waste combustors (MWC).  </w:t>
      </w:r>
    </w:p>
    <w:p w:rsidR="00D95E47" w:rsidRDefault="00D95E47" w:rsidP="001F2E6C">
      <w:pPr>
        <w:rPr>
          <w:szCs w:val="22"/>
        </w:rPr>
      </w:pPr>
      <w:r>
        <w:rPr>
          <w:szCs w:val="22"/>
        </w:rPr>
        <w:t>The Department will add a H</w:t>
      </w:r>
      <w:r w:rsidRPr="00D95E47">
        <w:rPr>
          <w:szCs w:val="22"/>
          <w:vertAlign w:val="subscript"/>
        </w:rPr>
        <w:t>2</w:t>
      </w:r>
      <w:r>
        <w:rPr>
          <w:szCs w:val="22"/>
        </w:rPr>
        <w:t>S syngas sampling protocol to the permit to ensure that the H</w:t>
      </w:r>
      <w:r w:rsidRPr="00273621">
        <w:rPr>
          <w:szCs w:val="22"/>
          <w:vertAlign w:val="subscript"/>
        </w:rPr>
        <w:t>2</w:t>
      </w:r>
      <w:r>
        <w:rPr>
          <w:szCs w:val="22"/>
        </w:rPr>
        <w:t>S level in the syngas is 500 ppm or less.  This will provide reasonable assurance that the SO</w:t>
      </w:r>
      <w:r w:rsidRPr="00273621">
        <w:rPr>
          <w:szCs w:val="22"/>
          <w:vertAlign w:val="subscript"/>
        </w:rPr>
        <w:t>2</w:t>
      </w:r>
      <w:r>
        <w:rPr>
          <w:szCs w:val="22"/>
        </w:rPr>
        <w:t xml:space="preserve"> emissions estimates described in the preceding paragraphs are not exceeded.</w:t>
      </w:r>
    </w:p>
    <w:p w:rsidR="0020362E" w:rsidRPr="001462C4" w:rsidRDefault="003A09B3" w:rsidP="00515258">
      <w:pPr>
        <w:pStyle w:val="ListParagraph"/>
        <w:widowControl w:val="0"/>
        <w:numPr>
          <w:ilvl w:val="0"/>
          <w:numId w:val="3"/>
        </w:numPr>
        <w:spacing w:before="120"/>
        <w:ind w:left="720" w:hanging="720"/>
        <w:contextualSpacing w:val="0"/>
        <w:rPr>
          <w:b/>
          <w:szCs w:val="22"/>
        </w:rPr>
      </w:pPr>
      <w:r>
        <w:rPr>
          <w:b/>
          <w:caps/>
          <w:szCs w:val="22"/>
        </w:rPr>
        <w:t>regulatory</w:t>
      </w:r>
      <w:r w:rsidR="0020362E" w:rsidRPr="00A21062">
        <w:rPr>
          <w:b/>
          <w:caps/>
          <w:szCs w:val="22"/>
        </w:rPr>
        <w:t xml:space="preserve"> Review</w:t>
      </w:r>
    </w:p>
    <w:p w:rsidR="0020362E" w:rsidRDefault="0020362E" w:rsidP="00515258">
      <w:pPr>
        <w:pStyle w:val="ListParagraph"/>
        <w:widowControl w:val="0"/>
        <w:numPr>
          <w:ilvl w:val="1"/>
          <w:numId w:val="3"/>
        </w:numPr>
        <w:ind w:left="720" w:hanging="720"/>
        <w:contextualSpacing w:val="0"/>
        <w:rPr>
          <w:b/>
          <w:szCs w:val="22"/>
        </w:rPr>
      </w:pPr>
      <w:r w:rsidRPr="00EB58C4">
        <w:rPr>
          <w:b/>
          <w:szCs w:val="22"/>
        </w:rPr>
        <w:t>State Regulations</w:t>
      </w:r>
      <w:r>
        <w:rPr>
          <w:b/>
          <w:szCs w:val="22"/>
        </w:rPr>
        <w:t xml:space="preserve"> Review</w:t>
      </w:r>
    </w:p>
    <w:p w:rsidR="00515258" w:rsidRPr="00515258" w:rsidRDefault="00515258" w:rsidP="00515258">
      <w:pPr>
        <w:pStyle w:val="ListParagraph"/>
        <w:ind w:left="0"/>
        <w:contextualSpacing w:val="0"/>
        <w:rPr>
          <w:szCs w:val="22"/>
        </w:rPr>
      </w:pPr>
      <w:r w:rsidRPr="00515258">
        <w:rPr>
          <w:szCs w:val="22"/>
        </w:rPr>
        <w:t xml:space="preserve">The following </w:t>
      </w:r>
      <w:r>
        <w:rPr>
          <w:szCs w:val="22"/>
        </w:rPr>
        <w:t>state</w:t>
      </w:r>
      <w:r w:rsidRPr="00515258">
        <w:rPr>
          <w:szCs w:val="22"/>
        </w:rPr>
        <w:t xml:space="preserve"> regulations are applicable to this project:</w:t>
      </w:r>
    </w:p>
    <w:p w:rsidR="0020362E" w:rsidRPr="008F6D53" w:rsidRDefault="0020362E" w:rsidP="00255B7B">
      <w:pPr>
        <w:pStyle w:val="ListParagraph"/>
        <w:numPr>
          <w:ilvl w:val="0"/>
          <w:numId w:val="8"/>
        </w:numPr>
        <w:ind w:left="360"/>
        <w:rPr>
          <w:szCs w:val="22"/>
        </w:rPr>
      </w:pPr>
      <w:r w:rsidRPr="00255B7B">
        <w:rPr>
          <w:szCs w:val="22"/>
          <w:u w:val="single"/>
        </w:rPr>
        <w:t>Chapter 62-213, F.A.C. Operation Permits for Major Sources of Air Pollution (Title V).</w:t>
      </w:r>
      <w:r w:rsidRPr="00255B7B">
        <w:rPr>
          <w:szCs w:val="22"/>
        </w:rPr>
        <w:t xml:space="preserve">  </w:t>
      </w:r>
      <w:r w:rsidR="00255B7B">
        <w:rPr>
          <w:szCs w:val="22"/>
        </w:rPr>
        <w:t>The facility will be a major source of air pollution under the Title V program.</w:t>
      </w:r>
    </w:p>
    <w:p w:rsidR="00DE03B4" w:rsidRDefault="0020362E" w:rsidP="008F6D53">
      <w:pPr>
        <w:pStyle w:val="ListParagraph"/>
        <w:numPr>
          <w:ilvl w:val="0"/>
          <w:numId w:val="8"/>
        </w:numPr>
        <w:ind w:left="360"/>
        <w:rPr>
          <w:szCs w:val="22"/>
        </w:rPr>
      </w:pPr>
      <w:r w:rsidRPr="00DE03B4">
        <w:rPr>
          <w:szCs w:val="22"/>
          <w:u w:val="single"/>
        </w:rPr>
        <w:t>Subsection 62-296.320(1), F.A.C. VOC Emissions.</w:t>
      </w:r>
      <w:r w:rsidRPr="00DE03B4">
        <w:rPr>
          <w:szCs w:val="22"/>
        </w:rPr>
        <w:t xml:space="preserve">  This rule forbids the storage, pumping, handling, processing, loading, unloading or use of VOC without applying vapor emission control devices or systems.  </w:t>
      </w:r>
      <w:r w:rsidR="00DE03B4" w:rsidRPr="00DE03B4">
        <w:rPr>
          <w:szCs w:val="22"/>
        </w:rPr>
        <w:t>This rule could potentially apply to</w:t>
      </w:r>
      <w:r w:rsidRPr="00DE03B4">
        <w:rPr>
          <w:szCs w:val="22"/>
        </w:rPr>
        <w:t xml:space="preserve"> the INPB IRC facility</w:t>
      </w:r>
    </w:p>
    <w:p w:rsidR="0020362E" w:rsidRPr="00DE03B4" w:rsidRDefault="0020362E" w:rsidP="008F6D53">
      <w:pPr>
        <w:pStyle w:val="ListParagraph"/>
        <w:numPr>
          <w:ilvl w:val="0"/>
          <w:numId w:val="8"/>
        </w:numPr>
        <w:ind w:left="360"/>
        <w:rPr>
          <w:szCs w:val="22"/>
        </w:rPr>
      </w:pPr>
      <w:r w:rsidRPr="00DE03B4">
        <w:rPr>
          <w:szCs w:val="22"/>
          <w:u w:val="single"/>
        </w:rPr>
        <w:t>Subsection 62-296.320(2), F.A.C. Objectionable Odor Prohibited.</w:t>
      </w:r>
      <w:r w:rsidRPr="00DE03B4">
        <w:rPr>
          <w:szCs w:val="22"/>
        </w:rPr>
        <w:t xml:space="preserve">  This rule prohibits any person from discharging air pollutants which cause or contribute to objectionable odors.  At the INPB IRC facility, </w:t>
      </w:r>
      <w:r w:rsidR="00DE03B4">
        <w:rPr>
          <w:szCs w:val="22"/>
        </w:rPr>
        <w:t>this rule will apply to</w:t>
      </w:r>
      <w:r w:rsidRPr="00DE03B4">
        <w:rPr>
          <w:szCs w:val="22"/>
        </w:rPr>
        <w:t xml:space="preserve"> the </w:t>
      </w:r>
      <w:r w:rsidR="00DE03B4" w:rsidRPr="00DE03B4">
        <w:rPr>
          <w:szCs w:val="22"/>
        </w:rPr>
        <w:t>Materials Handling Area</w:t>
      </w:r>
      <w:r w:rsidR="00DE03B4">
        <w:rPr>
          <w:szCs w:val="22"/>
        </w:rPr>
        <w:t xml:space="preserve"> (EU 001).</w:t>
      </w:r>
    </w:p>
    <w:p w:rsidR="0020362E" w:rsidRPr="00D61C01" w:rsidRDefault="0020362E" w:rsidP="00DE03B4">
      <w:pPr>
        <w:pStyle w:val="ListParagraph"/>
        <w:numPr>
          <w:ilvl w:val="0"/>
          <w:numId w:val="8"/>
        </w:numPr>
        <w:ind w:left="360"/>
        <w:rPr>
          <w:szCs w:val="22"/>
        </w:rPr>
      </w:pPr>
      <w:r w:rsidRPr="00D61C01">
        <w:rPr>
          <w:szCs w:val="22"/>
          <w:u w:val="single"/>
        </w:rPr>
        <w:t>Paragraph 62-296.320(4)(b), F.A.C.</w:t>
      </w:r>
      <w:r>
        <w:rPr>
          <w:szCs w:val="22"/>
          <w:u w:val="single"/>
        </w:rPr>
        <w:t xml:space="preserve"> General Visible Emissions Standard.</w:t>
      </w:r>
      <w:r>
        <w:rPr>
          <w:szCs w:val="22"/>
        </w:rPr>
        <w:t xml:space="preserve">  This rule applies a visible emissions limit of 20 percent opacity for equipment that does not otherwise have limits for visible emissions or for PM.  </w:t>
      </w:r>
    </w:p>
    <w:p w:rsidR="00DE03B4" w:rsidRDefault="0020362E" w:rsidP="00D73801">
      <w:pPr>
        <w:pStyle w:val="ListParagraph"/>
        <w:numPr>
          <w:ilvl w:val="0"/>
          <w:numId w:val="8"/>
        </w:numPr>
        <w:ind w:left="360"/>
        <w:rPr>
          <w:szCs w:val="22"/>
        </w:rPr>
      </w:pPr>
      <w:r w:rsidRPr="00DE03B4">
        <w:rPr>
          <w:szCs w:val="22"/>
          <w:u w:val="single"/>
        </w:rPr>
        <w:t>Paragraph 62-296.320(4)(c), F.A.C. Unconfined Emissions of PM.</w:t>
      </w:r>
      <w:r w:rsidRPr="00DE03B4">
        <w:rPr>
          <w:szCs w:val="22"/>
        </w:rPr>
        <w:t xml:space="preserve">  This rule prohibits industrial facilities from emitting unconfined PM (such as dust from unpaved roads) without taking reasonable precautions.  </w:t>
      </w:r>
    </w:p>
    <w:p w:rsidR="00DE03B4" w:rsidRPr="00DE03B4" w:rsidRDefault="0020362E" w:rsidP="00DE03B4">
      <w:pPr>
        <w:pStyle w:val="ListParagraph"/>
        <w:numPr>
          <w:ilvl w:val="0"/>
          <w:numId w:val="8"/>
        </w:numPr>
        <w:ind w:left="360"/>
        <w:contextualSpacing w:val="0"/>
        <w:rPr>
          <w:szCs w:val="22"/>
        </w:rPr>
      </w:pPr>
      <w:r w:rsidRPr="00DE03B4">
        <w:rPr>
          <w:szCs w:val="22"/>
          <w:u w:val="single"/>
        </w:rPr>
        <w:t>Rule 62-296.416, F.A.C. Waste-to-Energy Facilities.</w:t>
      </w:r>
      <w:r w:rsidRPr="00DE03B4">
        <w:rPr>
          <w:szCs w:val="22"/>
        </w:rPr>
        <w:t xml:space="preserve">  </w:t>
      </w:r>
      <w:r w:rsidR="00DE03B4">
        <w:rPr>
          <w:szCs w:val="22"/>
        </w:rPr>
        <w:t>T</w:t>
      </w:r>
      <w:r w:rsidRPr="00DE03B4">
        <w:rPr>
          <w:szCs w:val="22"/>
        </w:rPr>
        <w:t>he applicant and DEP have agreed that the rules for small MSW combustors will apply as the best regulatory fit for th</w:t>
      </w:r>
      <w:r w:rsidR="00DE03B4">
        <w:rPr>
          <w:szCs w:val="22"/>
        </w:rPr>
        <w:t xml:space="preserve">is process.  This includes Rule </w:t>
      </w:r>
      <w:r w:rsidRPr="00DE03B4">
        <w:rPr>
          <w:szCs w:val="22"/>
        </w:rPr>
        <w:t xml:space="preserve">62-296.416, F.A.C., which limits Hg emissions from waste-to-energy facilities.  </w:t>
      </w:r>
    </w:p>
    <w:p w:rsidR="0020362E" w:rsidRPr="00EB58C4" w:rsidRDefault="0020362E" w:rsidP="00DE03B4">
      <w:pPr>
        <w:pStyle w:val="ListParagraph"/>
        <w:widowControl w:val="0"/>
        <w:numPr>
          <w:ilvl w:val="1"/>
          <w:numId w:val="3"/>
        </w:numPr>
        <w:spacing w:before="120"/>
        <w:ind w:left="720" w:hanging="720"/>
        <w:contextualSpacing w:val="0"/>
        <w:rPr>
          <w:b/>
          <w:szCs w:val="22"/>
        </w:rPr>
      </w:pPr>
      <w:r w:rsidRPr="004D39CA">
        <w:rPr>
          <w:b/>
          <w:szCs w:val="22"/>
        </w:rPr>
        <w:t>Federal Regulations Review (NSPS and NESH</w:t>
      </w:r>
      <w:r>
        <w:rPr>
          <w:b/>
          <w:szCs w:val="22"/>
        </w:rPr>
        <w:t>AP)</w:t>
      </w:r>
    </w:p>
    <w:p w:rsidR="0020362E" w:rsidRPr="00C616A5" w:rsidRDefault="0020362E" w:rsidP="00CB219D">
      <w:pPr>
        <w:rPr>
          <w:szCs w:val="22"/>
        </w:rPr>
      </w:pPr>
      <w:r w:rsidRPr="00C616A5">
        <w:rPr>
          <w:szCs w:val="22"/>
        </w:rPr>
        <w:t xml:space="preserve">The following </w:t>
      </w:r>
      <w:r>
        <w:rPr>
          <w:szCs w:val="22"/>
        </w:rPr>
        <w:t>federal regulations</w:t>
      </w:r>
      <w:r w:rsidRPr="00C616A5">
        <w:rPr>
          <w:szCs w:val="22"/>
        </w:rPr>
        <w:t xml:space="preserve"> are applicable to this project:</w:t>
      </w:r>
    </w:p>
    <w:p w:rsidR="0020362E" w:rsidRDefault="002D716D" w:rsidP="00DE03B4">
      <w:pPr>
        <w:pStyle w:val="ListParagraph"/>
        <w:numPr>
          <w:ilvl w:val="0"/>
          <w:numId w:val="8"/>
        </w:numPr>
        <w:ind w:left="360"/>
        <w:rPr>
          <w:szCs w:val="22"/>
        </w:rPr>
      </w:pPr>
      <w:r>
        <w:rPr>
          <w:szCs w:val="22"/>
          <w:u w:val="single"/>
        </w:rPr>
        <w:t>40 C.F.R. part 60, S</w:t>
      </w:r>
      <w:r w:rsidR="0020362E" w:rsidRPr="006D6F70">
        <w:rPr>
          <w:szCs w:val="22"/>
          <w:u w:val="single"/>
        </w:rPr>
        <w:t>ubpart A—NSPS General Provisions.</w:t>
      </w:r>
      <w:r w:rsidR="0020362E">
        <w:rPr>
          <w:szCs w:val="22"/>
        </w:rPr>
        <w:t xml:space="preserve">  The general provisions apply to all emissions units that are subject to one or more of the NSPS rules.  </w:t>
      </w:r>
    </w:p>
    <w:p w:rsidR="002D716D" w:rsidRDefault="002D716D" w:rsidP="002D716D">
      <w:pPr>
        <w:pStyle w:val="ListParagraph"/>
        <w:numPr>
          <w:ilvl w:val="0"/>
          <w:numId w:val="8"/>
        </w:numPr>
        <w:ind w:left="360"/>
        <w:rPr>
          <w:szCs w:val="22"/>
        </w:rPr>
      </w:pPr>
      <w:r>
        <w:rPr>
          <w:szCs w:val="22"/>
          <w:u w:val="single"/>
        </w:rPr>
        <w:t>40 C.F.R. part 60, Su</w:t>
      </w:r>
      <w:r w:rsidR="0020362E" w:rsidRPr="0062180B">
        <w:rPr>
          <w:szCs w:val="22"/>
          <w:u w:val="single"/>
        </w:rPr>
        <w:t>bpart AAAA—NSPS for Small MWC.</w:t>
      </w:r>
      <w:r w:rsidR="0020362E">
        <w:rPr>
          <w:szCs w:val="22"/>
        </w:rPr>
        <w:t xml:space="preserve">  As previously discussed, DEP and the applicant have agreed that subpart AAAA will apply to the gasification units/biological reactor/vent gas boiler train, with the point of comparison to the federal emission limits at the exit of the vent gas boiler stack and after the post-combustion air pollution controls.  </w:t>
      </w:r>
    </w:p>
    <w:p w:rsidR="0020362E" w:rsidRPr="00822D7D" w:rsidRDefault="002D716D" w:rsidP="002D716D">
      <w:pPr>
        <w:pStyle w:val="ListParagraph"/>
        <w:numPr>
          <w:ilvl w:val="0"/>
          <w:numId w:val="8"/>
        </w:numPr>
        <w:ind w:left="360"/>
        <w:rPr>
          <w:szCs w:val="22"/>
        </w:rPr>
      </w:pPr>
      <w:r>
        <w:rPr>
          <w:szCs w:val="22"/>
          <w:u w:val="single"/>
        </w:rPr>
        <w:t>40 C.F.R. part 60, S</w:t>
      </w:r>
      <w:r w:rsidR="0020362E" w:rsidRPr="00822D7D">
        <w:rPr>
          <w:szCs w:val="22"/>
          <w:u w:val="single"/>
        </w:rPr>
        <w:t>ubpart Kb—NSPS for Volatile Organic Liquid Storage Vessels.</w:t>
      </w:r>
      <w:r w:rsidR="0020362E">
        <w:rPr>
          <w:szCs w:val="22"/>
        </w:rPr>
        <w:t xml:space="preserve">  This rule establishes design and emissions control criteria for certain storage tanks, as a function of their size and the vapor pressure of the organic liquid being stored.  At the proposed facility, only the product storage tank and the denaturant storage tank will be subject to </w:t>
      </w:r>
      <w:r>
        <w:rPr>
          <w:szCs w:val="22"/>
        </w:rPr>
        <w:t>this subpart</w:t>
      </w:r>
      <w:r w:rsidR="0020362E">
        <w:rPr>
          <w:szCs w:val="22"/>
        </w:rPr>
        <w:t>.</w:t>
      </w:r>
    </w:p>
    <w:p w:rsidR="0020362E" w:rsidRPr="002D716D" w:rsidRDefault="002D716D" w:rsidP="002D716D">
      <w:pPr>
        <w:pStyle w:val="ListParagraph"/>
        <w:numPr>
          <w:ilvl w:val="0"/>
          <w:numId w:val="8"/>
        </w:numPr>
        <w:ind w:left="360"/>
        <w:rPr>
          <w:szCs w:val="22"/>
        </w:rPr>
      </w:pPr>
      <w:r>
        <w:rPr>
          <w:szCs w:val="22"/>
          <w:u w:val="single"/>
        </w:rPr>
        <w:t>40 C.F.R. part 60, S</w:t>
      </w:r>
      <w:r w:rsidR="0020362E" w:rsidRPr="00042AEE">
        <w:rPr>
          <w:szCs w:val="22"/>
          <w:u w:val="single"/>
        </w:rPr>
        <w:t>ubpart IIII—NSPS for Stationary Compression Ignition Internal Combustion Engines</w:t>
      </w:r>
      <w:r w:rsidR="0020362E">
        <w:rPr>
          <w:szCs w:val="22"/>
          <w:u w:val="single"/>
        </w:rPr>
        <w:t>.</w:t>
      </w:r>
      <w:r w:rsidRPr="002D716D">
        <w:rPr>
          <w:szCs w:val="22"/>
        </w:rPr>
        <w:t xml:space="preserve">  This rule </w:t>
      </w:r>
      <w:r>
        <w:rPr>
          <w:szCs w:val="22"/>
        </w:rPr>
        <w:t>applies to the engines used to process the feedstock and the emergency equipment at the facility.</w:t>
      </w:r>
    </w:p>
    <w:p w:rsidR="002D716D" w:rsidRPr="002D716D" w:rsidRDefault="002D716D" w:rsidP="002D716D">
      <w:pPr>
        <w:pStyle w:val="ListParagraph"/>
        <w:numPr>
          <w:ilvl w:val="0"/>
          <w:numId w:val="8"/>
        </w:numPr>
        <w:ind w:left="360"/>
        <w:rPr>
          <w:szCs w:val="22"/>
        </w:rPr>
      </w:pPr>
      <w:r>
        <w:rPr>
          <w:szCs w:val="22"/>
          <w:u w:val="single"/>
        </w:rPr>
        <w:lastRenderedPageBreak/>
        <w:t>40 C.F.R. part 63, S</w:t>
      </w:r>
      <w:r w:rsidR="0020362E">
        <w:rPr>
          <w:szCs w:val="22"/>
          <w:u w:val="single"/>
        </w:rPr>
        <w:t>ubpart ZZZZ—NESHAP for Stationary Reciprocating Internal Combustion Engines</w:t>
      </w:r>
      <w:r w:rsidR="0020362E" w:rsidRPr="00042AEE">
        <w:rPr>
          <w:szCs w:val="22"/>
          <w:u w:val="single"/>
        </w:rPr>
        <w:t>.</w:t>
      </w:r>
      <w:r w:rsidRPr="002D716D">
        <w:rPr>
          <w:szCs w:val="22"/>
        </w:rPr>
        <w:t xml:space="preserve">  This rule applies to the engines used to process the feedstock and the emergency equipment at the facility.</w:t>
      </w:r>
    </w:p>
    <w:p w:rsidR="0020362E" w:rsidRPr="002D716D" w:rsidRDefault="002D716D" w:rsidP="00CB219D">
      <w:pPr>
        <w:pStyle w:val="ListParagraph"/>
        <w:numPr>
          <w:ilvl w:val="0"/>
          <w:numId w:val="8"/>
        </w:numPr>
        <w:ind w:left="360"/>
        <w:rPr>
          <w:szCs w:val="22"/>
        </w:rPr>
      </w:pPr>
      <w:r>
        <w:rPr>
          <w:szCs w:val="22"/>
          <w:u w:val="single"/>
        </w:rPr>
        <w:t>40 C.F.R. part 60, S</w:t>
      </w:r>
      <w:r w:rsidR="0020362E" w:rsidRPr="002D716D">
        <w:rPr>
          <w:szCs w:val="22"/>
          <w:u w:val="single"/>
        </w:rPr>
        <w:t>ubpart VVa—NSPS for Equipment Leaks of VOC.</w:t>
      </w:r>
      <w:r w:rsidR="0020362E" w:rsidRPr="002D716D">
        <w:rPr>
          <w:szCs w:val="22"/>
        </w:rPr>
        <w:t xml:space="preserve">  This rule limits fugitive emissions of VOC from leaking equipment (such as pumps, valves, flanges and connectors) through the implementation of a site-specific leak detection and repair (LDAR) plan.  The following federal regulations are not applicable to this project:</w:t>
      </w:r>
    </w:p>
    <w:p w:rsidR="00791662" w:rsidRPr="0093351C" w:rsidRDefault="00DB56BE" w:rsidP="00812AB4">
      <w:pPr>
        <w:keepNext/>
        <w:rPr>
          <w:b/>
          <w:caps/>
          <w:szCs w:val="22"/>
        </w:rPr>
      </w:pPr>
      <w:bookmarkStart w:id="1" w:name="OLE_LINK5"/>
      <w:r>
        <w:rPr>
          <w:b/>
          <w:caps/>
          <w:szCs w:val="22"/>
        </w:rPr>
        <w:t>5</w:t>
      </w:r>
      <w:r w:rsidR="00A54E2B">
        <w:rPr>
          <w:b/>
          <w:caps/>
          <w:szCs w:val="22"/>
        </w:rPr>
        <w:t>.</w:t>
      </w:r>
      <w:r w:rsidR="00A54E2B">
        <w:rPr>
          <w:b/>
          <w:caps/>
          <w:szCs w:val="22"/>
        </w:rPr>
        <w:tab/>
      </w:r>
      <w:r w:rsidR="00791662" w:rsidRPr="0093351C">
        <w:rPr>
          <w:b/>
          <w:caps/>
          <w:szCs w:val="22"/>
        </w:rPr>
        <w:t>Preliminary Determination</w:t>
      </w:r>
    </w:p>
    <w:p w:rsidR="002F3111" w:rsidRDefault="002D716D" w:rsidP="00CB219D">
      <w:pPr>
        <w:rPr>
          <w:szCs w:val="22"/>
        </w:rPr>
      </w:pPr>
      <w:r>
        <w:rPr>
          <w:szCs w:val="22"/>
        </w:rPr>
        <w:t>The Department</w:t>
      </w:r>
      <w:r w:rsidR="00791662" w:rsidRPr="0093351C">
        <w:rPr>
          <w:szCs w:val="22"/>
        </w:rPr>
        <w:t xml:space="preserve"> makes a preliminary determination that the proposed project will comply with all applicable state and federal air pollution regulatio</w:t>
      </w:r>
      <w:r w:rsidR="00C42AE1">
        <w:rPr>
          <w:szCs w:val="22"/>
        </w:rPr>
        <w:t xml:space="preserve">ns as conditioned by the </w:t>
      </w:r>
      <w:r w:rsidR="00465489">
        <w:rPr>
          <w:szCs w:val="22"/>
        </w:rPr>
        <w:t>d</w:t>
      </w:r>
      <w:r w:rsidR="00C42AE1">
        <w:rPr>
          <w:szCs w:val="22"/>
        </w:rPr>
        <w:t>raft p</w:t>
      </w:r>
      <w:r w:rsidR="00791662" w:rsidRPr="0093351C">
        <w:rPr>
          <w:szCs w:val="22"/>
        </w:rPr>
        <w:t>ermit.  This determination is based on a technical review of the complete application, reasonable assura</w:t>
      </w:r>
      <w:r w:rsidR="00465489">
        <w:rPr>
          <w:szCs w:val="22"/>
        </w:rPr>
        <w:t xml:space="preserve">nces provided by the applicant </w:t>
      </w:r>
      <w:r w:rsidR="00791662" w:rsidRPr="0093351C">
        <w:rPr>
          <w:szCs w:val="22"/>
        </w:rPr>
        <w:t>and the condi</w:t>
      </w:r>
      <w:r w:rsidR="00C42AE1">
        <w:rPr>
          <w:szCs w:val="22"/>
        </w:rPr>
        <w:t xml:space="preserve">tions specified in the </w:t>
      </w:r>
      <w:r w:rsidR="00465489">
        <w:rPr>
          <w:szCs w:val="22"/>
        </w:rPr>
        <w:t>d</w:t>
      </w:r>
      <w:r w:rsidR="00C42AE1">
        <w:rPr>
          <w:szCs w:val="22"/>
        </w:rPr>
        <w:t>raft p</w:t>
      </w:r>
      <w:r w:rsidR="00791662" w:rsidRPr="0093351C">
        <w:rPr>
          <w:szCs w:val="22"/>
        </w:rPr>
        <w:t xml:space="preserve">ermit.  </w:t>
      </w:r>
      <w:r>
        <w:rPr>
          <w:szCs w:val="22"/>
        </w:rPr>
        <w:t>David Read</w:t>
      </w:r>
      <w:r w:rsidR="00A54E2B">
        <w:rPr>
          <w:szCs w:val="22"/>
        </w:rPr>
        <w:t xml:space="preserve"> </w:t>
      </w:r>
      <w:r w:rsidR="00791662" w:rsidRPr="0093351C">
        <w:rPr>
          <w:szCs w:val="22"/>
        </w:rPr>
        <w:t xml:space="preserve">is the </w:t>
      </w:r>
      <w:r w:rsidR="00A54E2B">
        <w:rPr>
          <w:szCs w:val="22"/>
        </w:rPr>
        <w:t xml:space="preserve">primary processor for </w:t>
      </w:r>
      <w:r w:rsidR="00A54E2B" w:rsidRPr="00A54E2B">
        <w:rPr>
          <w:szCs w:val="22"/>
        </w:rPr>
        <w:t>reviewing the application and drafting the permit</w:t>
      </w:r>
      <w:r w:rsidR="00DB56BE">
        <w:rPr>
          <w:szCs w:val="22"/>
        </w:rPr>
        <w:t>.  He may be contacted at (850)717-</w:t>
      </w:r>
      <w:r>
        <w:rPr>
          <w:szCs w:val="22"/>
        </w:rPr>
        <w:t xml:space="preserve">9075 or by email at </w:t>
      </w:r>
      <w:hyperlink r:id="rId20" w:history="1">
        <w:r w:rsidRPr="00C43316">
          <w:rPr>
            <w:rStyle w:val="Hyperlink"/>
            <w:szCs w:val="22"/>
          </w:rPr>
          <w:t>David.Read@dep.state.fl.us</w:t>
        </w:r>
      </w:hyperlink>
      <w:r>
        <w:rPr>
          <w:szCs w:val="22"/>
        </w:rPr>
        <w:t xml:space="preserve"> </w:t>
      </w:r>
      <w:r w:rsidR="00A54E2B">
        <w:rPr>
          <w:szCs w:val="22"/>
        </w:rPr>
        <w:t>.</w:t>
      </w:r>
      <w:bookmarkEnd w:id="1"/>
    </w:p>
    <w:sectPr w:rsidR="002F3111" w:rsidSect="00EB58C4">
      <w:headerReference w:type="default" r:id="rId21"/>
      <w:footerReference w:type="default" r:id="rId22"/>
      <w:footerReference w:type="first" r:id="rId23"/>
      <w:endnotePr>
        <w:numFmt w:val="decimal"/>
      </w:endnotePr>
      <w:type w:val="continuous"/>
      <w:pgSz w:w="12240" w:h="15840" w:code="1"/>
      <w:pgMar w:top="1170" w:right="1440" w:bottom="1080" w:left="1440" w:header="720" w:footer="29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A14" w:rsidRDefault="005C1A14">
      <w:pPr>
        <w:pStyle w:val="Style4"/>
        <w:numPr>
          <w:ilvl w:val="12"/>
          <w:numId w:val="0"/>
        </w:numPr>
      </w:pPr>
      <w:r>
        <w:separator/>
      </w:r>
    </w:p>
  </w:endnote>
  <w:endnote w:type="continuationSeparator" w:id="0">
    <w:p w:rsidR="005C1A14" w:rsidRDefault="005C1A14">
      <w:pPr>
        <w:pStyle w:val="Style4"/>
        <w:numPr>
          <w:ilvl w:val="12"/>
          <w:numId w:val="0"/>
        </w:num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A14" w:rsidRPr="001C2B86" w:rsidRDefault="005C1A14" w:rsidP="00A8355A">
    <w:pPr>
      <w:pBdr>
        <w:top w:val="single" w:sz="6" w:space="1" w:color="auto"/>
      </w:pBdr>
      <w:tabs>
        <w:tab w:val="right" w:pos="9360"/>
      </w:tabs>
      <w:spacing w:after="0"/>
      <w:rPr>
        <w:rStyle w:val="PageNumber"/>
      </w:rPr>
    </w:pPr>
    <w:r>
      <w:rPr>
        <w:rStyle w:val="PageNumber"/>
      </w:rPr>
      <w:t>Indian River</w:t>
    </w:r>
    <w:r w:rsidRPr="001C2B86">
      <w:rPr>
        <w:rStyle w:val="PageNumber"/>
      </w:rPr>
      <w:t xml:space="preserve"> </w:t>
    </w:r>
    <w:r>
      <w:rPr>
        <w:rStyle w:val="PageNumber"/>
      </w:rPr>
      <w:t>County BioEnergy Facility</w:t>
    </w:r>
    <w:r w:rsidRPr="001C2B86">
      <w:rPr>
        <w:rStyle w:val="PageNumber"/>
      </w:rPr>
      <w:tab/>
      <w:t xml:space="preserve">Air Permit No. </w:t>
    </w:r>
    <w:r w:rsidRPr="001C2B86">
      <w:t>0</w:t>
    </w:r>
    <w:r>
      <w:t>610096</w:t>
    </w:r>
    <w:r w:rsidRPr="001C2B86">
      <w:t>-00</w:t>
    </w:r>
    <w:r>
      <w:t>3-</w:t>
    </w:r>
    <w:r w:rsidRPr="001C2B86">
      <w:t>AC</w:t>
    </w:r>
  </w:p>
  <w:p w:rsidR="005C1A14" w:rsidRPr="001C2B86" w:rsidRDefault="005C1A14" w:rsidP="00232A73">
    <w:pPr>
      <w:pBdr>
        <w:top w:val="single" w:sz="6" w:space="1" w:color="auto"/>
      </w:pBdr>
      <w:tabs>
        <w:tab w:val="right" w:pos="9360"/>
      </w:tabs>
      <w:spacing w:after="40"/>
      <w:rPr>
        <w:rStyle w:val="PageNumber"/>
      </w:rPr>
    </w:pPr>
    <w:r>
      <w:rPr>
        <w:rStyle w:val="PageNumber"/>
      </w:rPr>
      <w:t>Biomass to</w:t>
    </w:r>
    <w:r w:rsidRPr="001C2B86">
      <w:rPr>
        <w:rStyle w:val="PageNumber"/>
      </w:rPr>
      <w:t xml:space="preserve"> Ethanol Production</w:t>
    </w:r>
    <w:r>
      <w:rPr>
        <w:rStyle w:val="PageNumber"/>
      </w:rPr>
      <w:t>, Permit Modification</w:t>
    </w:r>
    <w:r w:rsidRPr="001C2B86">
      <w:rPr>
        <w:rStyle w:val="PageNumber"/>
      </w:rPr>
      <w:tab/>
    </w:r>
    <w:r>
      <w:rPr>
        <w:rStyle w:val="PageNumber"/>
      </w:rPr>
      <w:t>Indian River County</w:t>
    </w:r>
  </w:p>
  <w:p w:rsidR="005C1A14" w:rsidRPr="00500A22" w:rsidRDefault="005C1A14" w:rsidP="00500A22">
    <w:pPr>
      <w:pStyle w:val="Footer"/>
      <w:tabs>
        <w:tab w:val="right" w:pos="9360"/>
      </w:tabs>
      <w:jc w:val="center"/>
    </w:pPr>
    <w:r w:rsidRPr="00500A22">
      <w:t xml:space="preserve">Page </w:t>
    </w:r>
    <w:fldSimple w:instr=" PAGE ">
      <w:r w:rsidR="00632483">
        <w:rPr>
          <w:noProof/>
        </w:rPr>
        <w:t>9</w:t>
      </w:r>
    </w:fldSimple>
    <w:r w:rsidRPr="00500A22">
      <w:t xml:space="preserve"> of </w:t>
    </w:r>
    <w:r w:rsidR="0041503C">
      <w:rPr>
        <w:rStyle w:val="PageNumber"/>
      </w:rPr>
      <w:fldChar w:fldCharType="begin"/>
    </w:r>
    <w:r>
      <w:rPr>
        <w:rStyle w:val="PageNumber"/>
      </w:rPr>
      <w:instrText xml:space="preserve"> NUMPAGES </w:instrText>
    </w:r>
    <w:r w:rsidR="0041503C">
      <w:rPr>
        <w:rStyle w:val="PageNumber"/>
      </w:rPr>
      <w:fldChar w:fldCharType="separate"/>
    </w:r>
    <w:r w:rsidR="00632483">
      <w:rPr>
        <w:rStyle w:val="PageNumber"/>
        <w:noProof/>
      </w:rPr>
      <w:t>9</w:t>
    </w:r>
    <w:r w:rsidR="0041503C">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A14" w:rsidRDefault="005C1A14" w:rsidP="00CB219D">
    <w:pPr>
      <w:pStyle w:val="Footer"/>
      <w:spacing w:after="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A14" w:rsidRDefault="005C1A14">
      <w:pPr>
        <w:pStyle w:val="Style4"/>
        <w:numPr>
          <w:ilvl w:val="12"/>
          <w:numId w:val="0"/>
        </w:numPr>
      </w:pPr>
      <w:r>
        <w:separator/>
      </w:r>
    </w:p>
  </w:footnote>
  <w:footnote w:type="continuationSeparator" w:id="0">
    <w:p w:rsidR="005C1A14" w:rsidRDefault="005C1A14">
      <w:pPr>
        <w:pStyle w:val="Style4"/>
        <w:numPr>
          <w:ilvl w:val="12"/>
          <w:numId w:val="0"/>
        </w:numPr>
      </w:pPr>
      <w:r>
        <w:continuationSeparator/>
      </w:r>
    </w:p>
  </w:footnote>
  <w:footnote w:id="1">
    <w:p w:rsidR="005C1A14" w:rsidRDefault="005C1A14">
      <w:pPr>
        <w:pStyle w:val="FootnoteText"/>
      </w:pPr>
      <w:r>
        <w:rPr>
          <w:rStyle w:val="FootnoteReference"/>
        </w:rPr>
        <w:footnoteRef/>
      </w:r>
      <w:r>
        <w:t xml:space="preserve"> </w:t>
      </w:r>
      <w:r w:rsidRPr="0020362E">
        <w:rPr>
          <w:sz w:val="20"/>
        </w:rPr>
        <w:t>INEOS. Fact File 2010. Accessed May 11, 2010. http://www.ineos.com/pdf/INE_FF_2009_01_web.pdf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A14" w:rsidRDefault="005C1A14" w:rsidP="00CB219D">
    <w:pPr>
      <w:pStyle w:val="Header"/>
      <w:pBdr>
        <w:bottom w:val="single" w:sz="6" w:space="1" w:color="auto"/>
      </w:pBdr>
      <w:spacing w:after="0"/>
      <w:jc w:val="center"/>
      <w:rPr>
        <w:b/>
        <w:caps/>
      </w:rPr>
    </w:pPr>
    <w:r>
      <w:rPr>
        <w:b/>
        <w:caps/>
      </w:rPr>
      <w:t>TECHNICAL EVALUATION &amp; Preliminary Determination</w:t>
    </w:r>
  </w:p>
  <w:p w:rsidR="005C1A14" w:rsidRDefault="005C1A14" w:rsidP="00CB219D">
    <w:pPr>
      <w:pStyle w:val="Header"/>
      <w:spacing w:after="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5FD"/>
    <w:multiLevelType w:val="hybridMultilevel"/>
    <w:tmpl w:val="74240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B4440"/>
    <w:multiLevelType w:val="hybridMultilevel"/>
    <w:tmpl w:val="62B2AF5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F408E3"/>
    <w:multiLevelType w:val="hybridMultilevel"/>
    <w:tmpl w:val="490A9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D553DD"/>
    <w:multiLevelType w:val="hybridMultilevel"/>
    <w:tmpl w:val="1C6E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F23A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E047D5"/>
    <w:multiLevelType w:val="hybridMultilevel"/>
    <w:tmpl w:val="EE224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0"/>
  </w:num>
  <w:num w:numId="7">
    <w:abstractNumId w:val="7"/>
  </w:num>
  <w:num w:numId="8">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69633">
      <o:colormru v:ext="edit" colors="#6f6,#3c3"/>
      <o:colormenu v:ext="edit" fillcolor="none" strokecolor="none"/>
    </o:shapedefaults>
  </w:hdrShapeDefaults>
  <w:footnotePr>
    <w:footnote w:id="-1"/>
    <w:footnote w:id="0"/>
  </w:footnotePr>
  <w:endnotePr>
    <w:numFmt w:val="decimal"/>
    <w:endnote w:id="-1"/>
    <w:endnote w:id="0"/>
  </w:endnotePr>
  <w:compat/>
  <w:rsids>
    <w:rsidRoot w:val="005545BA"/>
    <w:rsid w:val="00000070"/>
    <w:rsid w:val="000003A1"/>
    <w:rsid w:val="00000EC5"/>
    <w:rsid w:val="000019FD"/>
    <w:rsid w:val="00001D0E"/>
    <w:rsid w:val="00001FD7"/>
    <w:rsid w:val="0000250C"/>
    <w:rsid w:val="00003441"/>
    <w:rsid w:val="00003582"/>
    <w:rsid w:val="0000453D"/>
    <w:rsid w:val="00004967"/>
    <w:rsid w:val="00007BF8"/>
    <w:rsid w:val="00007E37"/>
    <w:rsid w:val="0001003C"/>
    <w:rsid w:val="0001099B"/>
    <w:rsid w:val="000110C7"/>
    <w:rsid w:val="00011B9C"/>
    <w:rsid w:val="0001216D"/>
    <w:rsid w:val="00013FAE"/>
    <w:rsid w:val="0001558F"/>
    <w:rsid w:val="00017C87"/>
    <w:rsid w:val="0002021A"/>
    <w:rsid w:val="0002069E"/>
    <w:rsid w:val="00020C50"/>
    <w:rsid w:val="000219FA"/>
    <w:rsid w:val="000227F7"/>
    <w:rsid w:val="00022ED8"/>
    <w:rsid w:val="0002351E"/>
    <w:rsid w:val="00023825"/>
    <w:rsid w:val="00023B31"/>
    <w:rsid w:val="000253F6"/>
    <w:rsid w:val="000258AA"/>
    <w:rsid w:val="00025D10"/>
    <w:rsid w:val="000260AF"/>
    <w:rsid w:val="00026C07"/>
    <w:rsid w:val="00026E93"/>
    <w:rsid w:val="0002706A"/>
    <w:rsid w:val="0002722D"/>
    <w:rsid w:val="00027818"/>
    <w:rsid w:val="00027B27"/>
    <w:rsid w:val="00027E0E"/>
    <w:rsid w:val="00027FFA"/>
    <w:rsid w:val="00030701"/>
    <w:rsid w:val="00031881"/>
    <w:rsid w:val="000330F1"/>
    <w:rsid w:val="000333E3"/>
    <w:rsid w:val="00033620"/>
    <w:rsid w:val="00033D3A"/>
    <w:rsid w:val="000343EB"/>
    <w:rsid w:val="00034FD9"/>
    <w:rsid w:val="00036812"/>
    <w:rsid w:val="000378BF"/>
    <w:rsid w:val="00037DE6"/>
    <w:rsid w:val="000402EE"/>
    <w:rsid w:val="00040DD5"/>
    <w:rsid w:val="000419BB"/>
    <w:rsid w:val="00042091"/>
    <w:rsid w:val="00042114"/>
    <w:rsid w:val="00042AEE"/>
    <w:rsid w:val="000449FD"/>
    <w:rsid w:val="000456AF"/>
    <w:rsid w:val="0004624D"/>
    <w:rsid w:val="00046992"/>
    <w:rsid w:val="00051525"/>
    <w:rsid w:val="000516EB"/>
    <w:rsid w:val="000522A8"/>
    <w:rsid w:val="0005302D"/>
    <w:rsid w:val="00055356"/>
    <w:rsid w:val="00055EC9"/>
    <w:rsid w:val="0005630A"/>
    <w:rsid w:val="00056463"/>
    <w:rsid w:val="00062604"/>
    <w:rsid w:val="00062A79"/>
    <w:rsid w:val="00062FD9"/>
    <w:rsid w:val="00063D5D"/>
    <w:rsid w:val="00063F29"/>
    <w:rsid w:val="00066079"/>
    <w:rsid w:val="00066ACF"/>
    <w:rsid w:val="00066C49"/>
    <w:rsid w:val="00067008"/>
    <w:rsid w:val="000670B1"/>
    <w:rsid w:val="0006794A"/>
    <w:rsid w:val="0006796D"/>
    <w:rsid w:val="00070D1F"/>
    <w:rsid w:val="000725EF"/>
    <w:rsid w:val="00072F0E"/>
    <w:rsid w:val="000731B0"/>
    <w:rsid w:val="000751BF"/>
    <w:rsid w:val="00075AE6"/>
    <w:rsid w:val="00075F15"/>
    <w:rsid w:val="00076053"/>
    <w:rsid w:val="00077346"/>
    <w:rsid w:val="00077A39"/>
    <w:rsid w:val="00080B07"/>
    <w:rsid w:val="00081E9A"/>
    <w:rsid w:val="000827FB"/>
    <w:rsid w:val="00082817"/>
    <w:rsid w:val="00084B72"/>
    <w:rsid w:val="0008716F"/>
    <w:rsid w:val="000878A9"/>
    <w:rsid w:val="00087ABE"/>
    <w:rsid w:val="0009037C"/>
    <w:rsid w:val="000909FA"/>
    <w:rsid w:val="0009148B"/>
    <w:rsid w:val="0009156F"/>
    <w:rsid w:val="00091E20"/>
    <w:rsid w:val="00091E4E"/>
    <w:rsid w:val="0009270E"/>
    <w:rsid w:val="00092AA1"/>
    <w:rsid w:val="00093F85"/>
    <w:rsid w:val="00094C42"/>
    <w:rsid w:val="000959AD"/>
    <w:rsid w:val="00096288"/>
    <w:rsid w:val="00096318"/>
    <w:rsid w:val="00096700"/>
    <w:rsid w:val="00096BF6"/>
    <w:rsid w:val="000A06C0"/>
    <w:rsid w:val="000A0930"/>
    <w:rsid w:val="000A3244"/>
    <w:rsid w:val="000A3AD4"/>
    <w:rsid w:val="000A4661"/>
    <w:rsid w:val="000A49A5"/>
    <w:rsid w:val="000A5544"/>
    <w:rsid w:val="000A5EB1"/>
    <w:rsid w:val="000A5FB8"/>
    <w:rsid w:val="000A70AA"/>
    <w:rsid w:val="000A7170"/>
    <w:rsid w:val="000B1861"/>
    <w:rsid w:val="000B1B5B"/>
    <w:rsid w:val="000B4260"/>
    <w:rsid w:val="000B4892"/>
    <w:rsid w:val="000B49D5"/>
    <w:rsid w:val="000B51CA"/>
    <w:rsid w:val="000B60B0"/>
    <w:rsid w:val="000C02FB"/>
    <w:rsid w:val="000C0658"/>
    <w:rsid w:val="000C0A0A"/>
    <w:rsid w:val="000C193C"/>
    <w:rsid w:val="000C26CD"/>
    <w:rsid w:val="000C33BB"/>
    <w:rsid w:val="000C3447"/>
    <w:rsid w:val="000C51E2"/>
    <w:rsid w:val="000C56D5"/>
    <w:rsid w:val="000C59A6"/>
    <w:rsid w:val="000C7057"/>
    <w:rsid w:val="000D0550"/>
    <w:rsid w:val="000D0710"/>
    <w:rsid w:val="000D0810"/>
    <w:rsid w:val="000D0CDD"/>
    <w:rsid w:val="000D0CFB"/>
    <w:rsid w:val="000D0D17"/>
    <w:rsid w:val="000D1130"/>
    <w:rsid w:val="000D207C"/>
    <w:rsid w:val="000D2CF3"/>
    <w:rsid w:val="000D33D8"/>
    <w:rsid w:val="000D3A26"/>
    <w:rsid w:val="000D5C60"/>
    <w:rsid w:val="000D6152"/>
    <w:rsid w:val="000D6354"/>
    <w:rsid w:val="000D6440"/>
    <w:rsid w:val="000D68C6"/>
    <w:rsid w:val="000D6A6A"/>
    <w:rsid w:val="000D6B1A"/>
    <w:rsid w:val="000D6CCE"/>
    <w:rsid w:val="000D7341"/>
    <w:rsid w:val="000D7587"/>
    <w:rsid w:val="000D7608"/>
    <w:rsid w:val="000E0699"/>
    <w:rsid w:val="000E262D"/>
    <w:rsid w:val="000E51A2"/>
    <w:rsid w:val="000E549F"/>
    <w:rsid w:val="000E570A"/>
    <w:rsid w:val="000E5A36"/>
    <w:rsid w:val="000E5DEC"/>
    <w:rsid w:val="000E5F4D"/>
    <w:rsid w:val="000E6120"/>
    <w:rsid w:val="000E6BA0"/>
    <w:rsid w:val="000E79E7"/>
    <w:rsid w:val="000F064C"/>
    <w:rsid w:val="000F080B"/>
    <w:rsid w:val="000F097E"/>
    <w:rsid w:val="000F1168"/>
    <w:rsid w:val="000F13C7"/>
    <w:rsid w:val="000F1630"/>
    <w:rsid w:val="000F19AE"/>
    <w:rsid w:val="000F4863"/>
    <w:rsid w:val="000F5DA7"/>
    <w:rsid w:val="000F6425"/>
    <w:rsid w:val="001004E9"/>
    <w:rsid w:val="00100819"/>
    <w:rsid w:val="00100D8C"/>
    <w:rsid w:val="00101075"/>
    <w:rsid w:val="001011D5"/>
    <w:rsid w:val="001013A6"/>
    <w:rsid w:val="00102F51"/>
    <w:rsid w:val="0010403A"/>
    <w:rsid w:val="0010513E"/>
    <w:rsid w:val="001062D5"/>
    <w:rsid w:val="00106AEB"/>
    <w:rsid w:val="00107697"/>
    <w:rsid w:val="001076EC"/>
    <w:rsid w:val="00110AD5"/>
    <w:rsid w:val="00110D91"/>
    <w:rsid w:val="001128FF"/>
    <w:rsid w:val="00112F9F"/>
    <w:rsid w:val="00114B47"/>
    <w:rsid w:val="00114CC1"/>
    <w:rsid w:val="00115189"/>
    <w:rsid w:val="00115A27"/>
    <w:rsid w:val="00116339"/>
    <w:rsid w:val="001202C5"/>
    <w:rsid w:val="001214A9"/>
    <w:rsid w:val="0012192F"/>
    <w:rsid w:val="00123FAB"/>
    <w:rsid w:val="001263F4"/>
    <w:rsid w:val="00130AFB"/>
    <w:rsid w:val="00130BB4"/>
    <w:rsid w:val="00131244"/>
    <w:rsid w:val="0013206D"/>
    <w:rsid w:val="00133B1C"/>
    <w:rsid w:val="0013467B"/>
    <w:rsid w:val="00135AAA"/>
    <w:rsid w:val="00137119"/>
    <w:rsid w:val="00137C9B"/>
    <w:rsid w:val="00140294"/>
    <w:rsid w:val="00140613"/>
    <w:rsid w:val="00141D73"/>
    <w:rsid w:val="00141EC6"/>
    <w:rsid w:val="00142595"/>
    <w:rsid w:val="00142B97"/>
    <w:rsid w:val="0014450B"/>
    <w:rsid w:val="00144900"/>
    <w:rsid w:val="00144FE2"/>
    <w:rsid w:val="001454C2"/>
    <w:rsid w:val="00145E31"/>
    <w:rsid w:val="0014611D"/>
    <w:rsid w:val="001462C4"/>
    <w:rsid w:val="001506BD"/>
    <w:rsid w:val="0015080C"/>
    <w:rsid w:val="001524B3"/>
    <w:rsid w:val="001537BE"/>
    <w:rsid w:val="001549FC"/>
    <w:rsid w:val="00156508"/>
    <w:rsid w:val="00156DA0"/>
    <w:rsid w:val="0015772D"/>
    <w:rsid w:val="001577AC"/>
    <w:rsid w:val="00161C74"/>
    <w:rsid w:val="00161F3F"/>
    <w:rsid w:val="001624A1"/>
    <w:rsid w:val="00162841"/>
    <w:rsid w:val="00162A30"/>
    <w:rsid w:val="00162A9F"/>
    <w:rsid w:val="00163663"/>
    <w:rsid w:val="001638EF"/>
    <w:rsid w:val="00164037"/>
    <w:rsid w:val="0016421A"/>
    <w:rsid w:val="001653CC"/>
    <w:rsid w:val="001654C4"/>
    <w:rsid w:val="00165DCC"/>
    <w:rsid w:val="00166AFC"/>
    <w:rsid w:val="00167748"/>
    <w:rsid w:val="00171549"/>
    <w:rsid w:val="001719FC"/>
    <w:rsid w:val="00171BBD"/>
    <w:rsid w:val="00172B5C"/>
    <w:rsid w:val="0017370C"/>
    <w:rsid w:val="00173A0D"/>
    <w:rsid w:val="00173BF4"/>
    <w:rsid w:val="00173FF2"/>
    <w:rsid w:val="00174423"/>
    <w:rsid w:val="00175557"/>
    <w:rsid w:val="0017585D"/>
    <w:rsid w:val="00175BD1"/>
    <w:rsid w:val="00177EE6"/>
    <w:rsid w:val="00177F3C"/>
    <w:rsid w:val="00180183"/>
    <w:rsid w:val="00180261"/>
    <w:rsid w:val="001803AF"/>
    <w:rsid w:val="001808B2"/>
    <w:rsid w:val="001809E4"/>
    <w:rsid w:val="00181DBA"/>
    <w:rsid w:val="00181E80"/>
    <w:rsid w:val="00182307"/>
    <w:rsid w:val="00183566"/>
    <w:rsid w:val="0018436F"/>
    <w:rsid w:val="0018439A"/>
    <w:rsid w:val="0018673D"/>
    <w:rsid w:val="001868FE"/>
    <w:rsid w:val="00186D8E"/>
    <w:rsid w:val="00186FE2"/>
    <w:rsid w:val="00187C10"/>
    <w:rsid w:val="00193631"/>
    <w:rsid w:val="00195419"/>
    <w:rsid w:val="00196680"/>
    <w:rsid w:val="00197177"/>
    <w:rsid w:val="00197C90"/>
    <w:rsid w:val="001A0ACE"/>
    <w:rsid w:val="001A2AEF"/>
    <w:rsid w:val="001A2B75"/>
    <w:rsid w:val="001A36DD"/>
    <w:rsid w:val="001A4D78"/>
    <w:rsid w:val="001A6150"/>
    <w:rsid w:val="001A6307"/>
    <w:rsid w:val="001A69AA"/>
    <w:rsid w:val="001A740A"/>
    <w:rsid w:val="001B0DCF"/>
    <w:rsid w:val="001B1B9D"/>
    <w:rsid w:val="001B24DC"/>
    <w:rsid w:val="001B2B19"/>
    <w:rsid w:val="001B3128"/>
    <w:rsid w:val="001B31AD"/>
    <w:rsid w:val="001B3DF8"/>
    <w:rsid w:val="001B4D35"/>
    <w:rsid w:val="001B55D7"/>
    <w:rsid w:val="001B6E55"/>
    <w:rsid w:val="001B7E95"/>
    <w:rsid w:val="001C09C1"/>
    <w:rsid w:val="001C12D9"/>
    <w:rsid w:val="001C2AB4"/>
    <w:rsid w:val="001C417B"/>
    <w:rsid w:val="001C440E"/>
    <w:rsid w:val="001C48CE"/>
    <w:rsid w:val="001C4F42"/>
    <w:rsid w:val="001C5604"/>
    <w:rsid w:val="001C5EEE"/>
    <w:rsid w:val="001C6A22"/>
    <w:rsid w:val="001C6E79"/>
    <w:rsid w:val="001C6EB7"/>
    <w:rsid w:val="001C733A"/>
    <w:rsid w:val="001D028C"/>
    <w:rsid w:val="001D06BD"/>
    <w:rsid w:val="001D1EB8"/>
    <w:rsid w:val="001D1F39"/>
    <w:rsid w:val="001D2017"/>
    <w:rsid w:val="001D2D75"/>
    <w:rsid w:val="001D413F"/>
    <w:rsid w:val="001D4FED"/>
    <w:rsid w:val="001D589E"/>
    <w:rsid w:val="001D5951"/>
    <w:rsid w:val="001D607D"/>
    <w:rsid w:val="001D65F3"/>
    <w:rsid w:val="001D72AA"/>
    <w:rsid w:val="001D7B50"/>
    <w:rsid w:val="001E15C3"/>
    <w:rsid w:val="001E1CEE"/>
    <w:rsid w:val="001E255C"/>
    <w:rsid w:val="001E2994"/>
    <w:rsid w:val="001E2EAC"/>
    <w:rsid w:val="001E3964"/>
    <w:rsid w:val="001E3FFE"/>
    <w:rsid w:val="001E4B48"/>
    <w:rsid w:val="001E5A9B"/>
    <w:rsid w:val="001E669D"/>
    <w:rsid w:val="001E66F0"/>
    <w:rsid w:val="001E6ED5"/>
    <w:rsid w:val="001E73BD"/>
    <w:rsid w:val="001F0C28"/>
    <w:rsid w:val="001F0DEB"/>
    <w:rsid w:val="001F2935"/>
    <w:rsid w:val="001F2E6C"/>
    <w:rsid w:val="001F3B61"/>
    <w:rsid w:val="001F529C"/>
    <w:rsid w:val="001F5CD8"/>
    <w:rsid w:val="001F6156"/>
    <w:rsid w:val="001F7EA7"/>
    <w:rsid w:val="00200497"/>
    <w:rsid w:val="002009EC"/>
    <w:rsid w:val="00202501"/>
    <w:rsid w:val="00202C68"/>
    <w:rsid w:val="002035DC"/>
    <w:rsid w:val="0020362E"/>
    <w:rsid w:val="002047CE"/>
    <w:rsid w:val="002054C4"/>
    <w:rsid w:val="002065EC"/>
    <w:rsid w:val="00210083"/>
    <w:rsid w:val="00210514"/>
    <w:rsid w:val="00211410"/>
    <w:rsid w:val="0021216B"/>
    <w:rsid w:val="00212495"/>
    <w:rsid w:val="00212C19"/>
    <w:rsid w:val="00213990"/>
    <w:rsid w:val="00214B64"/>
    <w:rsid w:val="00214F5A"/>
    <w:rsid w:val="002154A0"/>
    <w:rsid w:val="00216A9D"/>
    <w:rsid w:val="00217885"/>
    <w:rsid w:val="0022096C"/>
    <w:rsid w:val="002211E1"/>
    <w:rsid w:val="0022392E"/>
    <w:rsid w:val="002239F4"/>
    <w:rsid w:val="00224D97"/>
    <w:rsid w:val="002255BB"/>
    <w:rsid w:val="00226D06"/>
    <w:rsid w:val="00227C1A"/>
    <w:rsid w:val="002309F1"/>
    <w:rsid w:val="00231117"/>
    <w:rsid w:val="0023238A"/>
    <w:rsid w:val="00232A73"/>
    <w:rsid w:val="002346BC"/>
    <w:rsid w:val="002349CD"/>
    <w:rsid w:val="00234B67"/>
    <w:rsid w:val="002359EF"/>
    <w:rsid w:val="00236394"/>
    <w:rsid w:val="00237E6C"/>
    <w:rsid w:val="00240F95"/>
    <w:rsid w:val="002412C8"/>
    <w:rsid w:val="00243091"/>
    <w:rsid w:val="002438A2"/>
    <w:rsid w:val="00243A08"/>
    <w:rsid w:val="002455FB"/>
    <w:rsid w:val="00245E23"/>
    <w:rsid w:val="0024602D"/>
    <w:rsid w:val="00246F38"/>
    <w:rsid w:val="002471C0"/>
    <w:rsid w:val="00247636"/>
    <w:rsid w:val="0024799F"/>
    <w:rsid w:val="00247EDB"/>
    <w:rsid w:val="00247F9C"/>
    <w:rsid w:val="0025244E"/>
    <w:rsid w:val="0025260B"/>
    <w:rsid w:val="00253405"/>
    <w:rsid w:val="002537FD"/>
    <w:rsid w:val="00253F15"/>
    <w:rsid w:val="00254C9D"/>
    <w:rsid w:val="00255B7B"/>
    <w:rsid w:val="00255DBB"/>
    <w:rsid w:val="00256347"/>
    <w:rsid w:val="00257DC1"/>
    <w:rsid w:val="00257DD3"/>
    <w:rsid w:val="002603F6"/>
    <w:rsid w:val="0026176C"/>
    <w:rsid w:val="002621CC"/>
    <w:rsid w:val="002628D2"/>
    <w:rsid w:val="00262FDF"/>
    <w:rsid w:val="002633FE"/>
    <w:rsid w:val="002637C0"/>
    <w:rsid w:val="0026388F"/>
    <w:rsid w:val="00263C49"/>
    <w:rsid w:val="00264141"/>
    <w:rsid w:val="00264291"/>
    <w:rsid w:val="00264C16"/>
    <w:rsid w:val="00265919"/>
    <w:rsid w:val="00266420"/>
    <w:rsid w:val="00266749"/>
    <w:rsid w:val="00266AC5"/>
    <w:rsid w:val="00266FD7"/>
    <w:rsid w:val="0026701F"/>
    <w:rsid w:val="00267F12"/>
    <w:rsid w:val="0027103C"/>
    <w:rsid w:val="00271355"/>
    <w:rsid w:val="00271A40"/>
    <w:rsid w:val="00272E57"/>
    <w:rsid w:val="00273101"/>
    <w:rsid w:val="00273621"/>
    <w:rsid w:val="0027428E"/>
    <w:rsid w:val="00276A67"/>
    <w:rsid w:val="00277482"/>
    <w:rsid w:val="002774AB"/>
    <w:rsid w:val="00277517"/>
    <w:rsid w:val="00280A79"/>
    <w:rsid w:val="00280EB4"/>
    <w:rsid w:val="0028141C"/>
    <w:rsid w:val="002815BF"/>
    <w:rsid w:val="00281FFD"/>
    <w:rsid w:val="002824E1"/>
    <w:rsid w:val="00282906"/>
    <w:rsid w:val="00284053"/>
    <w:rsid w:val="0028444F"/>
    <w:rsid w:val="002845DA"/>
    <w:rsid w:val="00284FCA"/>
    <w:rsid w:val="00285CF8"/>
    <w:rsid w:val="00285EB2"/>
    <w:rsid w:val="002874B9"/>
    <w:rsid w:val="002878A1"/>
    <w:rsid w:val="00287B38"/>
    <w:rsid w:val="00287F36"/>
    <w:rsid w:val="00290527"/>
    <w:rsid w:val="002910B1"/>
    <w:rsid w:val="00291F51"/>
    <w:rsid w:val="00292C4D"/>
    <w:rsid w:val="00294F9B"/>
    <w:rsid w:val="002955E1"/>
    <w:rsid w:val="00296387"/>
    <w:rsid w:val="00296814"/>
    <w:rsid w:val="0029694F"/>
    <w:rsid w:val="00296BFD"/>
    <w:rsid w:val="0029741F"/>
    <w:rsid w:val="002A3210"/>
    <w:rsid w:val="002A3496"/>
    <w:rsid w:val="002A37FE"/>
    <w:rsid w:val="002A383A"/>
    <w:rsid w:val="002A3865"/>
    <w:rsid w:val="002A5A34"/>
    <w:rsid w:val="002A5B5E"/>
    <w:rsid w:val="002A69AF"/>
    <w:rsid w:val="002A6FA3"/>
    <w:rsid w:val="002A7055"/>
    <w:rsid w:val="002B3BF8"/>
    <w:rsid w:val="002B43EB"/>
    <w:rsid w:val="002B4A79"/>
    <w:rsid w:val="002B5FAB"/>
    <w:rsid w:val="002B6C34"/>
    <w:rsid w:val="002B6CD1"/>
    <w:rsid w:val="002B746B"/>
    <w:rsid w:val="002B75D6"/>
    <w:rsid w:val="002B782F"/>
    <w:rsid w:val="002C088D"/>
    <w:rsid w:val="002C15DE"/>
    <w:rsid w:val="002C2995"/>
    <w:rsid w:val="002C2D7E"/>
    <w:rsid w:val="002C3F2B"/>
    <w:rsid w:val="002C4731"/>
    <w:rsid w:val="002C5BC8"/>
    <w:rsid w:val="002C5E5A"/>
    <w:rsid w:val="002C6135"/>
    <w:rsid w:val="002C69BE"/>
    <w:rsid w:val="002C7278"/>
    <w:rsid w:val="002C73D3"/>
    <w:rsid w:val="002C7554"/>
    <w:rsid w:val="002C764C"/>
    <w:rsid w:val="002D02F5"/>
    <w:rsid w:val="002D099A"/>
    <w:rsid w:val="002D0BA9"/>
    <w:rsid w:val="002D23E9"/>
    <w:rsid w:val="002D2D4A"/>
    <w:rsid w:val="002D2DDA"/>
    <w:rsid w:val="002D50F8"/>
    <w:rsid w:val="002D514E"/>
    <w:rsid w:val="002D716D"/>
    <w:rsid w:val="002E170C"/>
    <w:rsid w:val="002E1C2A"/>
    <w:rsid w:val="002E26F0"/>
    <w:rsid w:val="002E28C4"/>
    <w:rsid w:val="002E3F68"/>
    <w:rsid w:val="002E44E2"/>
    <w:rsid w:val="002E45C1"/>
    <w:rsid w:val="002E4D5E"/>
    <w:rsid w:val="002E5927"/>
    <w:rsid w:val="002E7430"/>
    <w:rsid w:val="002E7508"/>
    <w:rsid w:val="002E7B72"/>
    <w:rsid w:val="002F0EDD"/>
    <w:rsid w:val="002F1151"/>
    <w:rsid w:val="002F12F0"/>
    <w:rsid w:val="002F1387"/>
    <w:rsid w:val="002F1BEE"/>
    <w:rsid w:val="002F3111"/>
    <w:rsid w:val="002F3F94"/>
    <w:rsid w:val="002F41C3"/>
    <w:rsid w:val="002F52D8"/>
    <w:rsid w:val="002F647E"/>
    <w:rsid w:val="002F714B"/>
    <w:rsid w:val="002F79A8"/>
    <w:rsid w:val="002F7AEF"/>
    <w:rsid w:val="00300753"/>
    <w:rsid w:val="00301709"/>
    <w:rsid w:val="00302347"/>
    <w:rsid w:val="003035F4"/>
    <w:rsid w:val="0030373D"/>
    <w:rsid w:val="00304E37"/>
    <w:rsid w:val="003050D2"/>
    <w:rsid w:val="00306C5C"/>
    <w:rsid w:val="003077B3"/>
    <w:rsid w:val="00307A77"/>
    <w:rsid w:val="00310102"/>
    <w:rsid w:val="0031037F"/>
    <w:rsid w:val="0031242E"/>
    <w:rsid w:val="00313275"/>
    <w:rsid w:val="00314244"/>
    <w:rsid w:val="00315D8A"/>
    <w:rsid w:val="00315EC5"/>
    <w:rsid w:val="00315F24"/>
    <w:rsid w:val="0031653E"/>
    <w:rsid w:val="00316B8A"/>
    <w:rsid w:val="00317A9C"/>
    <w:rsid w:val="00317CF3"/>
    <w:rsid w:val="003203BE"/>
    <w:rsid w:val="00321EAC"/>
    <w:rsid w:val="00322A90"/>
    <w:rsid w:val="00322DD9"/>
    <w:rsid w:val="003235AD"/>
    <w:rsid w:val="00323672"/>
    <w:rsid w:val="00324082"/>
    <w:rsid w:val="0032579B"/>
    <w:rsid w:val="00326021"/>
    <w:rsid w:val="00326D6F"/>
    <w:rsid w:val="0032716C"/>
    <w:rsid w:val="003339DA"/>
    <w:rsid w:val="00334831"/>
    <w:rsid w:val="00335803"/>
    <w:rsid w:val="00335A9A"/>
    <w:rsid w:val="00336345"/>
    <w:rsid w:val="0033718F"/>
    <w:rsid w:val="003373C3"/>
    <w:rsid w:val="00337775"/>
    <w:rsid w:val="00340221"/>
    <w:rsid w:val="00341991"/>
    <w:rsid w:val="00342DE9"/>
    <w:rsid w:val="003431D0"/>
    <w:rsid w:val="003446BE"/>
    <w:rsid w:val="003447CC"/>
    <w:rsid w:val="00344EF6"/>
    <w:rsid w:val="00345739"/>
    <w:rsid w:val="003472CC"/>
    <w:rsid w:val="0034781D"/>
    <w:rsid w:val="00347E7F"/>
    <w:rsid w:val="00347F88"/>
    <w:rsid w:val="0035217F"/>
    <w:rsid w:val="0035515B"/>
    <w:rsid w:val="00355246"/>
    <w:rsid w:val="00355769"/>
    <w:rsid w:val="0035600F"/>
    <w:rsid w:val="0035665D"/>
    <w:rsid w:val="00356D54"/>
    <w:rsid w:val="00356FCF"/>
    <w:rsid w:val="003570FE"/>
    <w:rsid w:val="00357C21"/>
    <w:rsid w:val="00357C9C"/>
    <w:rsid w:val="00357E76"/>
    <w:rsid w:val="00362550"/>
    <w:rsid w:val="00362C07"/>
    <w:rsid w:val="00363BEB"/>
    <w:rsid w:val="00364199"/>
    <w:rsid w:val="00365AD5"/>
    <w:rsid w:val="00366CB7"/>
    <w:rsid w:val="00367920"/>
    <w:rsid w:val="00367B87"/>
    <w:rsid w:val="00370228"/>
    <w:rsid w:val="003708B0"/>
    <w:rsid w:val="00371BB9"/>
    <w:rsid w:val="003726EE"/>
    <w:rsid w:val="00373109"/>
    <w:rsid w:val="00373325"/>
    <w:rsid w:val="0037578C"/>
    <w:rsid w:val="003763B8"/>
    <w:rsid w:val="003772D8"/>
    <w:rsid w:val="00377AA1"/>
    <w:rsid w:val="00380D03"/>
    <w:rsid w:val="00380D4B"/>
    <w:rsid w:val="00381AD5"/>
    <w:rsid w:val="00382266"/>
    <w:rsid w:val="00382D89"/>
    <w:rsid w:val="00384676"/>
    <w:rsid w:val="00384722"/>
    <w:rsid w:val="00384AC7"/>
    <w:rsid w:val="00385847"/>
    <w:rsid w:val="003871C4"/>
    <w:rsid w:val="00387878"/>
    <w:rsid w:val="0039037D"/>
    <w:rsid w:val="0039066C"/>
    <w:rsid w:val="0039147C"/>
    <w:rsid w:val="0039315C"/>
    <w:rsid w:val="00393CA1"/>
    <w:rsid w:val="00394863"/>
    <w:rsid w:val="0039518F"/>
    <w:rsid w:val="00395813"/>
    <w:rsid w:val="00396501"/>
    <w:rsid w:val="00397041"/>
    <w:rsid w:val="00397532"/>
    <w:rsid w:val="00397B01"/>
    <w:rsid w:val="00397C47"/>
    <w:rsid w:val="003A003E"/>
    <w:rsid w:val="003A06CA"/>
    <w:rsid w:val="003A09B3"/>
    <w:rsid w:val="003A1D5A"/>
    <w:rsid w:val="003A24DF"/>
    <w:rsid w:val="003A2A54"/>
    <w:rsid w:val="003A4DFA"/>
    <w:rsid w:val="003A58DD"/>
    <w:rsid w:val="003A5A42"/>
    <w:rsid w:val="003A6464"/>
    <w:rsid w:val="003A66E0"/>
    <w:rsid w:val="003A6A9D"/>
    <w:rsid w:val="003B1F8D"/>
    <w:rsid w:val="003B2916"/>
    <w:rsid w:val="003B2A8F"/>
    <w:rsid w:val="003B3809"/>
    <w:rsid w:val="003B3926"/>
    <w:rsid w:val="003B3DB2"/>
    <w:rsid w:val="003B43DE"/>
    <w:rsid w:val="003B5057"/>
    <w:rsid w:val="003B5EA2"/>
    <w:rsid w:val="003B6331"/>
    <w:rsid w:val="003B67D5"/>
    <w:rsid w:val="003B7535"/>
    <w:rsid w:val="003C0572"/>
    <w:rsid w:val="003C0FB3"/>
    <w:rsid w:val="003C2E01"/>
    <w:rsid w:val="003C3328"/>
    <w:rsid w:val="003C3C65"/>
    <w:rsid w:val="003C4990"/>
    <w:rsid w:val="003C57C1"/>
    <w:rsid w:val="003C6058"/>
    <w:rsid w:val="003C6616"/>
    <w:rsid w:val="003C783E"/>
    <w:rsid w:val="003C7B2F"/>
    <w:rsid w:val="003D0462"/>
    <w:rsid w:val="003D1E4B"/>
    <w:rsid w:val="003D2179"/>
    <w:rsid w:val="003D2EF3"/>
    <w:rsid w:val="003D38A2"/>
    <w:rsid w:val="003D3CA3"/>
    <w:rsid w:val="003D474E"/>
    <w:rsid w:val="003D477A"/>
    <w:rsid w:val="003D4D65"/>
    <w:rsid w:val="003D4F70"/>
    <w:rsid w:val="003D57E5"/>
    <w:rsid w:val="003D6175"/>
    <w:rsid w:val="003D780D"/>
    <w:rsid w:val="003E01CE"/>
    <w:rsid w:val="003E0A85"/>
    <w:rsid w:val="003E0A87"/>
    <w:rsid w:val="003E0FB1"/>
    <w:rsid w:val="003E1341"/>
    <w:rsid w:val="003E37A9"/>
    <w:rsid w:val="003E38AF"/>
    <w:rsid w:val="003E3CA0"/>
    <w:rsid w:val="003E53BF"/>
    <w:rsid w:val="003E56EC"/>
    <w:rsid w:val="003E5800"/>
    <w:rsid w:val="003E67FC"/>
    <w:rsid w:val="003E717C"/>
    <w:rsid w:val="003E7293"/>
    <w:rsid w:val="003F1B22"/>
    <w:rsid w:val="003F25A0"/>
    <w:rsid w:val="003F2A94"/>
    <w:rsid w:val="003F2D73"/>
    <w:rsid w:val="003F39B0"/>
    <w:rsid w:val="003F3BF4"/>
    <w:rsid w:val="003F43D0"/>
    <w:rsid w:val="003F77D2"/>
    <w:rsid w:val="00400CE5"/>
    <w:rsid w:val="00402174"/>
    <w:rsid w:val="004024EC"/>
    <w:rsid w:val="00403F26"/>
    <w:rsid w:val="004049D4"/>
    <w:rsid w:val="00404F6A"/>
    <w:rsid w:val="004054F0"/>
    <w:rsid w:val="0040603F"/>
    <w:rsid w:val="0040756C"/>
    <w:rsid w:val="004106CA"/>
    <w:rsid w:val="00412603"/>
    <w:rsid w:val="00413DEF"/>
    <w:rsid w:val="0041503C"/>
    <w:rsid w:val="004169F5"/>
    <w:rsid w:val="00420242"/>
    <w:rsid w:val="0042164F"/>
    <w:rsid w:val="004235DC"/>
    <w:rsid w:val="00424C17"/>
    <w:rsid w:val="004269AE"/>
    <w:rsid w:val="00427935"/>
    <w:rsid w:val="0043073A"/>
    <w:rsid w:val="00430E25"/>
    <w:rsid w:val="00432572"/>
    <w:rsid w:val="00432D63"/>
    <w:rsid w:val="004330E0"/>
    <w:rsid w:val="0043352D"/>
    <w:rsid w:val="00434FC2"/>
    <w:rsid w:val="004350A4"/>
    <w:rsid w:val="00436688"/>
    <w:rsid w:val="004367D4"/>
    <w:rsid w:val="00436B9F"/>
    <w:rsid w:val="00437255"/>
    <w:rsid w:val="0043735F"/>
    <w:rsid w:val="0043782D"/>
    <w:rsid w:val="00437A91"/>
    <w:rsid w:val="00440FCA"/>
    <w:rsid w:val="0044217C"/>
    <w:rsid w:val="00442F40"/>
    <w:rsid w:val="00443211"/>
    <w:rsid w:val="00443782"/>
    <w:rsid w:val="004437AE"/>
    <w:rsid w:val="00443B26"/>
    <w:rsid w:val="00443F03"/>
    <w:rsid w:val="0044565E"/>
    <w:rsid w:val="004458DA"/>
    <w:rsid w:val="00447046"/>
    <w:rsid w:val="00447184"/>
    <w:rsid w:val="0044756F"/>
    <w:rsid w:val="00450C82"/>
    <w:rsid w:val="00451AE2"/>
    <w:rsid w:val="00453C2E"/>
    <w:rsid w:val="004545C4"/>
    <w:rsid w:val="00454D7F"/>
    <w:rsid w:val="00454EE1"/>
    <w:rsid w:val="0045567D"/>
    <w:rsid w:val="004557D9"/>
    <w:rsid w:val="0045658A"/>
    <w:rsid w:val="00457ADA"/>
    <w:rsid w:val="00457DD9"/>
    <w:rsid w:val="00457F23"/>
    <w:rsid w:val="004604A3"/>
    <w:rsid w:val="00461320"/>
    <w:rsid w:val="004613B9"/>
    <w:rsid w:val="00462254"/>
    <w:rsid w:val="0046314C"/>
    <w:rsid w:val="00463970"/>
    <w:rsid w:val="00463F09"/>
    <w:rsid w:val="00464576"/>
    <w:rsid w:val="00464F37"/>
    <w:rsid w:val="00465489"/>
    <w:rsid w:val="00466006"/>
    <w:rsid w:val="00466073"/>
    <w:rsid w:val="00466E89"/>
    <w:rsid w:val="004671AF"/>
    <w:rsid w:val="004672F5"/>
    <w:rsid w:val="00467E73"/>
    <w:rsid w:val="004714EB"/>
    <w:rsid w:val="0047245E"/>
    <w:rsid w:val="0047335B"/>
    <w:rsid w:val="004748B2"/>
    <w:rsid w:val="00474E19"/>
    <w:rsid w:val="004766DF"/>
    <w:rsid w:val="00477406"/>
    <w:rsid w:val="004801A1"/>
    <w:rsid w:val="00480403"/>
    <w:rsid w:val="00481112"/>
    <w:rsid w:val="004811AE"/>
    <w:rsid w:val="004812D2"/>
    <w:rsid w:val="00481A77"/>
    <w:rsid w:val="00482A52"/>
    <w:rsid w:val="004839F9"/>
    <w:rsid w:val="0048447C"/>
    <w:rsid w:val="00484A88"/>
    <w:rsid w:val="00485212"/>
    <w:rsid w:val="004853EC"/>
    <w:rsid w:val="004861EE"/>
    <w:rsid w:val="0048630B"/>
    <w:rsid w:val="00486D6A"/>
    <w:rsid w:val="004878D4"/>
    <w:rsid w:val="00490972"/>
    <w:rsid w:val="004916EC"/>
    <w:rsid w:val="00491F1B"/>
    <w:rsid w:val="00492AFA"/>
    <w:rsid w:val="00494530"/>
    <w:rsid w:val="00494E3E"/>
    <w:rsid w:val="004956FF"/>
    <w:rsid w:val="00495791"/>
    <w:rsid w:val="004957FC"/>
    <w:rsid w:val="0049617F"/>
    <w:rsid w:val="004961A7"/>
    <w:rsid w:val="004961CE"/>
    <w:rsid w:val="004970C5"/>
    <w:rsid w:val="004A001D"/>
    <w:rsid w:val="004A0567"/>
    <w:rsid w:val="004A1A83"/>
    <w:rsid w:val="004A40A6"/>
    <w:rsid w:val="004A41F1"/>
    <w:rsid w:val="004A4D5B"/>
    <w:rsid w:val="004A632C"/>
    <w:rsid w:val="004A6517"/>
    <w:rsid w:val="004A6BD3"/>
    <w:rsid w:val="004A74D8"/>
    <w:rsid w:val="004A786A"/>
    <w:rsid w:val="004A7A51"/>
    <w:rsid w:val="004B032D"/>
    <w:rsid w:val="004B0814"/>
    <w:rsid w:val="004B0BC8"/>
    <w:rsid w:val="004B1304"/>
    <w:rsid w:val="004B2E0F"/>
    <w:rsid w:val="004B3348"/>
    <w:rsid w:val="004B6AEE"/>
    <w:rsid w:val="004B7435"/>
    <w:rsid w:val="004B791B"/>
    <w:rsid w:val="004C01B7"/>
    <w:rsid w:val="004C07A5"/>
    <w:rsid w:val="004C1F91"/>
    <w:rsid w:val="004C2A13"/>
    <w:rsid w:val="004C32E6"/>
    <w:rsid w:val="004C5290"/>
    <w:rsid w:val="004C5980"/>
    <w:rsid w:val="004C602A"/>
    <w:rsid w:val="004C7827"/>
    <w:rsid w:val="004D0078"/>
    <w:rsid w:val="004D079E"/>
    <w:rsid w:val="004D0FBA"/>
    <w:rsid w:val="004D39CA"/>
    <w:rsid w:val="004D3F06"/>
    <w:rsid w:val="004D697F"/>
    <w:rsid w:val="004D7335"/>
    <w:rsid w:val="004E0412"/>
    <w:rsid w:val="004E0738"/>
    <w:rsid w:val="004E1FB7"/>
    <w:rsid w:val="004E2E4B"/>
    <w:rsid w:val="004E3227"/>
    <w:rsid w:val="004E36FB"/>
    <w:rsid w:val="004E3A1E"/>
    <w:rsid w:val="004E4609"/>
    <w:rsid w:val="004E4C54"/>
    <w:rsid w:val="004E4D7B"/>
    <w:rsid w:val="004E6DD3"/>
    <w:rsid w:val="004E7B18"/>
    <w:rsid w:val="004E7FD8"/>
    <w:rsid w:val="004F0B58"/>
    <w:rsid w:val="004F1057"/>
    <w:rsid w:val="004F1B5A"/>
    <w:rsid w:val="004F1CB9"/>
    <w:rsid w:val="004F2B2E"/>
    <w:rsid w:val="004F2B57"/>
    <w:rsid w:val="004F2EE5"/>
    <w:rsid w:val="004F31AA"/>
    <w:rsid w:val="004F34E6"/>
    <w:rsid w:val="004F36C6"/>
    <w:rsid w:val="004F3792"/>
    <w:rsid w:val="004F3ECB"/>
    <w:rsid w:val="004F4AA4"/>
    <w:rsid w:val="004F574E"/>
    <w:rsid w:val="004F5BA1"/>
    <w:rsid w:val="004F6FD2"/>
    <w:rsid w:val="004F70CA"/>
    <w:rsid w:val="004F7155"/>
    <w:rsid w:val="00500A22"/>
    <w:rsid w:val="00502F41"/>
    <w:rsid w:val="00503962"/>
    <w:rsid w:val="00504B16"/>
    <w:rsid w:val="00505F17"/>
    <w:rsid w:val="005076B1"/>
    <w:rsid w:val="00507B19"/>
    <w:rsid w:val="005113C7"/>
    <w:rsid w:val="005120C5"/>
    <w:rsid w:val="00512B86"/>
    <w:rsid w:val="00512C21"/>
    <w:rsid w:val="0051383A"/>
    <w:rsid w:val="005142D1"/>
    <w:rsid w:val="00514AB0"/>
    <w:rsid w:val="00514FC7"/>
    <w:rsid w:val="00515258"/>
    <w:rsid w:val="0051646C"/>
    <w:rsid w:val="00516FBE"/>
    <w:rsid w:val="00517454"/>
    <w:rsid w:val="00520EB4"/>
    <w:rsid w:val="00521D3B"/>
    <w:rsid w:val="00523E73"/>
    <w:rsid w:val="00523FB5"/>
    <w:rsid w:val="005240F0"/>
    <w:rsid w:val="0052557D"/>
    <w:rsid w:val="0052688C"/>
    <w:rsid w:val="00526C3B"/>
    <w:rsid w:val="00527D18"/>
    <w:rsid w:val="00530529"/>
    <w:rsid w:val="00530D29"/>
    <w:rsid w:val="00531151"/>
    <w:rsid w:val="00531D98"/>
    <w:rsid w:val="0053400B"/>
    <w:rsid w:val="0053414C"/>
    <w:rsid w:val="00534574"/>
    <w:rsid w:val="00534A09"/>
    <w:rsid w:val="00534FB0"/>
    <w:rsid w:val="00535565"/>
    <w:rsid w:val="00535830"/>
    <w:rsid w:val="00537882"/>
    <w:rsid w:val="00537E7B"/>
    <w:rsid w:val="00541005"/>
    <w:rsid w:val="00541039"/>
    <w:rsid w:val="00541E1B"/>
    <w:rsid w:val="00541E71"/>
    <w:rsid w:val="00542622"/>
    <w:rsid w:val="00542DB7"/>
    <w:rsid w:val="005435D2"/>
    <w:rsid w:val="00543BE6"/>
    <w:rsid w:val="00544B1F"/>
    <w:rsid w:val="00552255"/>
    <w:rsid w:val="00553AAE"/>
    <w:rsid w:val="005545BA"/>
    <w:rsid w:val="00554FE6"/>
    <w:rsid w:val="00555012"/>
    <w:rsid w:val="0055675D"/>
    <w:rsid w:val="005576BC"/>
    <w:rsid w:val="0056167D"/>
    <w:rsid w:val="005619CA"/>
    <w:rsid w:val="00561DAC"/>
    <w:rsid w:val="00561FB4"/>
    <w:rsid w:val="00562528"/>
    <w:rsid w:val="00563ACE"/>
    <w:rsid w:val="0056471D"/>
    <w:rsid w:val="00565962"/>
    <w:rsid w:val="0056622A"/>
    <w:rsid w:val="0056740A"/>
    <w:rsid w:val="00567AB3"/>
    <w:rsid w:val="005709FF"/>
    <w:rsid w:val="00574AD9"/>
    <w:rsid w:val="00575DC8"/>
    <w:rsid w:val="0057692D"/>
    <w:rsid w:val="00576A52"/>
    <w:rsid w:val="0057706E"/>
    <w:rsid w:val="0058017B"/>
    <w:rsid w:val="0058041E"/>
    <w:rsid w:val="00580E45"/>
    <w:rsid w:val="00580F06"/>
    <w:rsid w:val="00582FCD"/>
    <w:rsid w:val="00583376"/>
    <w:rsid w:val="00584966"/>
    <w:rsid w:val="00584E8C"/>
    <w:rsid w:val="0058508A"/>
    <w:rsid w:val="00585167"/>
    <w:rsid w:val="00586EAD"/>
    <w:rsid w:val="005876BE"/>
    <w:rsid w:val="005906D3"/>
    <w:rsid w:val="005914C6"/>
    <w:rsid w:val="00592508"/>
    <w:rsid w:val="0059303F"/>
    <w:rsid w:val="005940F5"/>
    <w:rsid w:val="00594644"/>
    <w:rsid w:val="00594EF2"/>
    <w:rsid w:val="00595CD4"/>
    <w:rsid w:val="00595FA6"/>
    <w:rsid w:val="00597E87"/>
    <w:rsid w:val="005A06A4"/>
    <w:rsid w:val="005A0725"/>
    <w:rsid w:val="005A1C7C"/>
    <w:rsid w:val="005A24DE"/>
    <w:rsid w:val="005A28D3"/>
    <w:rsid w:val="005A2E1D"/>
    <w:rsid w:val="005A40AD"/>
    <w:rsid w:val="005A43D6"/>
    <w:rsid w:val="005A489C"/>
    <w:rsid w:val="005A4CA7"/>
    <w:rsid w:val="005A58AF"/>
    <w:rsid w:val="005A6133"/>
    <w:rsid w:val="005A68A9"/>
    <w:rsid w:val="005A6CEC"/>
    <w:rsid w:val="005A7D7E"/>
    <w:rsid w:val="005B108B"/>
    <w:rsid w:val="005B16DC"/>
    <w:rsid w:val="005B2DC8"/>
    <w:rsid w:val="005B3042"/>
    <w:rsid w:val="005B3B4E"/>
    <w:rsid w:val="005B5A4D"/>
    <w:rsid w:val="005B5E1D"/>
    <w:rsid w:val="005B738D"/>
    <w:rsid w:val="005C0403"/>
    <w:rsid w:val="005C101F"/>
    <w:rsid w:val="005C143A"/>
    <w:rsid w:val="005C16C2"/>
    <w:rsid w:val="005C1A14"/>
    <w:rsid w:val="005C3174"/>
    <w:rsid w:val="005C3977"/>
    <w:rsid w:val="005C3D4B"/>
    <w:rsid w:val="005C4363"/>
    <w:rsid w:val="005C4B49"/>
    <w:rsid w:val="005C5816"/>
    <w:rsid w:val="005D0484"/>
    <w:rsid w:val="005D06E9"/>
    <w:rsid w:val="005D0702"/>
    <w:rsid w:val="005D1E34"/>
    <w:rsid w:val="005D2077"/>
    <w:rsid w:val="005D320A"/>
    <w:rsid w:val="005D3632"/>
    <w:rsid w:val="005D38EF"/>
    <w:rsid w:val="005D5D15"/>
    <w:rsid w:val="005D6D7B"/>
    <w:rsid w:val="005E00F0"/>
    <w:rsid w:val="005E0D82"/>
    <w:rsid w:val="005E1205"/>
    <w:rsid w:val="005E2357"/>
    <w:rsid w:val="005E2458"/>
    <w:rsid w:val="005E25D9"/>
    <w:rsid w:val="005E2E1C"/>
    <w:rsid w:val="005E50E2"/>
    <w:rsid w:val="005E532B"/>
    <w:rsid w:val="005E54B8"/>
    <w:rsid w:val="005E6EE2"/>
    <w:rsid w:val="005E75E4"/>
    <w:rsid w:val="005F09CA"/>
    <w:rsid w:val="005F130D"/>
    <w:rsid w:val="005F16E5"/>
    <w:rsid w:val="005F2B40"/>
    <w:rsid w:val="005F3CA3"/>
    <w:rsid w:val="005F4FB0"/>
    <w:rsid w:val="005F6991"/>
    <w:rsid w:val="005F7241"/>
    <w:rsid w:val="005F726F"/>
    <w:rsid w:val="00601CFE"/>
    <w:rsid w:val="00602016"/>
    <w:rsid w:val="0060208E"/>
    <w:rsid w:val="006020D0"/>
    <w:rsid w:val="00602837"/>
    <w:rsid w:val="006028F8"/>
    <w:rsid w:val="00602A6E"/>
    <w:rsid w:val="0060301D"/>
    <w:rsid w:val="00603D5B"/>
    <w:rsid w:val="00603D6D"/>
    <w:rsid w:val="00603DB3"/>
    <w:rsid w:val="0060478B"/>
    <w:rsid w:val="006054C6"/>
    <w:rsid w:val="00605A9B"/>
    <w:rsid w:val="00606C1F"/>
    <w:rsid w:val="00607694"/>
    <w:rsid w:val="006104D1"/>
    <w:rsid w:val="00610F82"/>
    <w:rsid w:val="00612244"/>
    <w:rsid w:val="00612CC6"/>
    <w:rsid w:val="006137D7"/>
    <w:rsid w:val="00613CC4"/>
    <w:rsid w:val="006146A8"/>
    <w:rsid w:val="006150F7"/>
    <w:rsid w:val="00615803"/>
    <w:rsid w:val="00615BCA"/>
    <w:rsid w:val="006176B2"/>
    <w:rsid w:val="00617C56"/>
    <w:rsid w:val="00617E2B"/>
    <w:rsid w:val="00620976"/>
    <w:rsid w:val="0062180B"/>
    <w:rsid w:val="00622AB0"/>
    <w:rsid w:val="006236A0"/>
    <w:rsid w:val="00624AE7"/>
    <w:rsid w:val="0062505F"/>
    <w:rsid w:val="006254C0"/>
    <w:rsid w:val="00626EF0"/>
    <w:rsid w:val="00630683"/>
    <w:rsid w:val="00630835"/>
    <w:rsid w:val="0063083B"/>
    <w:rsid w:val="006308B6"/>
    <w:rsid w:val="00630F2A"/>
    <w:rsid w:val="0063196B"/>
    <w:rsid w:val="00632483"/>
    <w:rsid w:val="0063315D"/>
    <w:rsid w:val="00633D40"/>
    <w:rsid w:val="00634D65"/>
    <w:rsid w:val="006368B1"/>
    <w:rsid w:val="0064296C"/>
    <w:rsid w:val="006430F3"/>
    <w:rsid w:val="00643D1C"/>
    <w:rsid w:val="00644B99"/>
    <w:rsid w:val="006464E4"/>
    <w:rsid w:val="006472E8"/>
    <w:rsid w:val="00647CBB"/>
    <w:rsid w:val="00651011"/>
    <w:rsid w:val="00651255"/>
    <w:rsid w:val="00651DCE"/>
    <w:rsid w:val="00654566"/>
    <w:rsid w:val="00654789"/>
    <w:rsid w:val="006553AD"/>
    <w:rsid w:val="00656EF5"/>
    <w:rsid w:val="006579AF"/>
    <w:rsid w:val="00657E16"/>
    <w:rsid w:val="006627F8"/>
    <w:rsid w:val="00663861"/>
    <w:rsid w:val="00663FC6"/>
    <w:rsid w:val="0066465A"/>
    <w:rsid w:val="0066523E"/>
    <w:rsid w:val="00665D75"/>
    <w:rsid w:val="00666C66"/>
    <w:rsid w:val="00667E9F"/>
    <w:rsid w:val="006701FB"/>
    <w:rsid w:val="006703F0"/>
    <w:rsid w:val="00670CB1"/>
    <w:rsid w:val="006725E2"/>
    <w:rsid w:val="00673C3A"/>
    <w:rsid w:val="0067400A"/>
    <w:rsid w:val="006745BA"/>
    <w:rsid w:val="0067497F"/>
    <w:rsid w:val="0067519D"/>
    <w:rsid w:val="006756FB"/>
    <w:rsid w:val="00675853"/>
    <w:rsid w:val="00676160"/>
    <w:rsid w:val="00676332"/>
    <w:rsid w:val="006769B2"/>
    <w:rsid w:val="0068008B"/>
    <w:rsid w:val="00681112"/>
    <w:rsid w:val="006820C1"/>
    <w:rsid w:val="0068389E"/>
    <w:rsid w:val="00684535"/>
    <w:rsid w:val="00684C8C"/>
    <w:rsid w:val="0069166D"/>
    <w:rsid w:val="00692732"/>
    <w:rsid w:val="006933D8"/>
    <w:rsid w:val="006945C5"/>
    <w:rsid w:val="00695334"/>
    <w:rsid w:val="00695C5E"/>
    <w:rsid w:val="006961A7"/>
    <w:rsid w:val="006965A7"/>
    <w:rsid w:val="00696BA7"/>
    <w:rsid w:val="006A057F"/>
    <w:rsid w:val="006A16DB"/>
    <w:rsid w:val="006A27E1"/>
    <w:rsid w:val="006A4CDE"/>
    <w:rsid w:val="006A4E55"/>
    <w:rsid w:val="006A5048"/>
    <w:rsid w:val="006A613A"/>
    <w:rsid w:val="006A7909"/>
    <w:rsid w:val="006A7919"/>
    <w:rsid w:val="006A7B19"/>
    <w:rsid w:val="006A7E4D"/>
    <w:rsid w:val="006B284A"/>
    <w:rsid w:val="006B555B"/>
    <w:rsid w:val="006B6335"/>
    <w:rsid w:val="006B6395"/>
    <w:rsid w:val="006B6DCD"/>
    <w:rsid w:val="006B70D3"/>
    <w:rsid w:val="006B73BD"/>
    <w:rsid w:val="006B7A88"/>
    <w:rsid w:val="006C0214"/>
    <w:rsid w:val="006C1958"/>
    <w:rsid w:val="006C2D81"/>
    <w:rsid w:val="006C409E"/>
    <w:rsid w:val="006C4BAC"/>
    <w:rsid w:val="006C5D51"/>
    <w:rsid w:val="006C7F64"/>
    <w:rsid w:val="006D0BCD"/>
    <w:rsid w:val="006D2116"/>
    <w:rsid w:val="006D2720"/>
    <w:rsid w:val="006D2A17"/>
    <w:rsid w:val="006D30ED"/>
    <w:rsid w:val="006D4C14"/>
    <w:rsid w:val="006D570B"/>
    <w:rsid w:val="006D5EC6"/>
    <w:rsid w:val="006D612E"/>
    <w:rsid w:val="006D66C4"/>
    <w:rsid w:val="006D6F70"/>
    <w:rsid w:val="006D702D"/>
    <w:rsid w:val="006D7692"/>
    <w:rsid w:val="006D7749"/>
    <w:rsid w:val="006E3016"/>
    <w:rsid w:val="006E36CA"/>
    <w:rsid w:val="006E47A0"/>
    <w:rsid w:val="006E4EE1"/>
    <w:rsid w:val="006E69B3"/>
    <w:rsid w:val="006E6A48"/>
    <w:rsid w:val="006E6C79"/>
    <w:rsid w:val="006E7285"/>
    <w:rsid w:val="006E776A"/>
    <w:rsid w:val="006F1248"/>
    <w:rsid w:val="006F1826"/>
    <w:rsid w:val="006F1DA5"/>
    <w:rsid w:val="006F295D"/>
    <w:rsid w:val="006F2F1D"/>
    <w:rsid w:val="006F5519"/>
    <w:rsid w:val="006F5658"/>
    <w:rsid w:val="00701E84"/>
    <w:rsid w:val="007030DD"/>
    <w:rsid w:val="00703AFD"/>
    <w:rsid w:val="00704421"/>
    <w:rsid w:val="00704AEA"/>
    <w:rsid w:val="007108EF"/>
    <w:rsid w:val="007111E3"/>
    <w:rsid w:val="007122AB"/>
    <w:rsid w:val="0071357D"/>
    <w:rsid w:val="00715623"/>
    <w:rsid w:val="00716868"/>
    <w:rsid w:val="00716A39"/>
    <w:rsid w:val="00717D71"/>
    <w:rsid w:val="0072120A"/>
    <w:rsid w:val="007217A8"/>
    <w:rsid w:val="00724241"/>
    <w:rsid w:val="00726277"/>
    <w:rsid w:val="00726496"/>
    <w:rsid w:val="00726D8F"/>
    <w:rsid w:val="007300B5"/>
    <w:rsid w:val="00730BBB"/>
    <w:rsid w:val="00730CEC"/>
    <w:rsid w:val="007311EF"/>
    <w:rsid w:val="0073138F"/>
    <w:rsid w:val="00731AE7"/>
    <w:rsid w:val="00731FCA"/>
    <w:rsid w:val="00732D8C"/>
    <w:rsid w:val="00733C2F"/>
    <w:rsid w:val="007351FC"/>
    <w:rsid w:val="007354F2"/>
    <w:rsid w:val="00735B46"/>
    <w:rsid w:val="00736F0F"/>
    <w:rsid w:val="00741672"/>
    <w:rsid w:val="007423DC"/>
    <w:rsid w:val="00742BE6"/>
    <w:rsid w:val="007437CD"/>
    <w:rsid w:val="00743B03"/>
    <w:rsid w:val="00743EBF"/>
    <w:rsid w:val="00744730"/>
    <w:rsid w:val="00746526"/>
    <w:rsid w:val="00746BED"/>
    <w:rsid w:val="00747E36"/>
    <w:rsid w:val="00750668"/>
    <w:rsid w:val="00751392"/>
    <w:rsid w:val="007515D6"/>
    <w:rsid w:val="00752E2B"/>
    <w:rsid w:val="00754961"/>
    <w:rsid w:val="00755950"/>
    <w:rsid w:val="00755A0D"/>
    <w:rsid w:val="0075656D"/>
    <w:rsid w:val="00756684"/>
    <w:rsid w:val="007575D5"/>
    <w:rsid w:val="00757779"/>
    <w:rsid w:val="0076114B"/>
    <w:rsid w:val="00762A83"/>
    <w:rsid w:val="00763332"/>
    <w:rsid w:val="00764186"/>
    <w:rsid w:val="00764AED"/>
    <w:rsid w:val="00764FA4"/>
    <w:rsid w:val="0076564E"/>
    <w:rsid w:val="007666E0"/>
    <w:rsid w:val="00766F1A"/>
    <w:rsid w:val="00770486"/>
    <w:rsid w:val="00770601"/>
    <w:rsid w:val="00770A37"/>
    <w:rsid w:val="00770C70"/>
    <w:rsid w:val="0077101E"/>
    <w:rsid w:val="007710C1"/>
    <w:rsid w:val="0077174B"/>
    <w:rsid w:val="0077189A"/>
    <w:rsid w:val="007718C7"/>
    <w:rsid w:val="00771B17"/>
    <w:rsid w:val="00772A55"/>
    <w:rsid w:val="00773D7D"/>
    <w:rsid w:val="00775897"/>
    <w:rsid w:val="0077794F"/>
    <w:rsid w:val="0078065C"/>
    <w:rsid w:val="00780810"/>
    <w:rsid w:val="00781227"/>
    <w:rsid w:val="007812B4"/>
    <w:rsid w:val="00782000"/>
    <w:rsid w:val="0078274B"/>
    <w:rsid w:val="00783667"/>
    <w:rsid w:val="00784A2C"/>
    <w:rsid w:val="00784E52"/>
    <w:rsid w:val="00785077"/>
    <w:rsid w:val="00785459"/>
    <w:rsid w:val="0078557A"/>
    <w:rsid w:val="0078733D"/>
    <w:rsid w:val="007909AE"/>
    <w:rsid w:val="00791662"/>
    <w:rsid w:val="00791E53"/>
    <w:rsid w:val="0079216F"/>
    <w:rsid w:val="007928C7"/>
    <w:rsid w:val="00792D4D"/>
    <w:rsid w:val="00792D87"/>
    <w:rsid w:val="00793DEC"/>
    <w:rsid w:val="007A1AE8"/>
    <w:rsid w:val="007A1BB3"/>
    <w:rsid w:val="007A234D"/>
    <w:rsid w:val="007A2BA6"/>
    <w:rsid w:val="007A3E7D"/>
    <w:rsid w:val="007A6530"/>
    <w:rsid w:val="007A6B84"/>
    <w:rsid w:val="007A7434"/>
    <w:rsid w:val="007B0108"/>
    <w:rsid w:val="007B27E8"/>
    <w:rsid w:val="007B2E9F"/>
    <w:rsid w:val="007B33A0"/>
    <w:rsid w:val="007B4DD9"/>
    <w:rsid w:val="007B5D4D"/>
    <w:rsid w:val="007B620C"/>
    <w:rsid w:val="007B75AC"/>
    <w:rsid w:val="007B77CF"/>
    <w:rsid w:val="007C0302"/>
    <w:rsid w:val="007C0621"/>
    <w:rsid w:val="007C5501"/>
    <w:rsid w:val="007C5CE6"/>
    <w:rsid w:val="007C5D66"/>
    <w:rsid w:val="007C62AE"/>
    <w:rsid w:val="007C6DC1"/>
    <w:rsid w:val="007C6E9B"/>
    <w:rsid w:val="007C6EDA"/>
    <w:rsid w:val="007C7361"/>
    <w:rsid w:val="007D0DEF"/>
    <w:rsid w:val="007D11BE"/>
    <w:rsid w:val="007D1E7C"/>
    <w:rsid w:val="007D1F07"/>
    <w:rsid w:val="007D2959"/>
    <w:rsid w:val="007D3455"/>
    <w:rsid w:val="007D3CD5"/>
    <w:rsid w:val="007D47D3"/>
    <w:rsid w:val="007D4CF8"/>
    <w:rsid w:val="007D5D19"/>
    <w:rsid w:val="007D5F51"/>
    <w:rsid w:val="007D6F93"/>
    <w:rsid w:val="007D71EB"/>
    <w:rsid w:val="007E0CE9"/>
    <w:rsid w:val="007E37E7"/>
    <w:rsid w:val="007E3A17"/>
    <w:rsid w:val="007E3ABE"/>
    <w:rsid w:val="007E5307"/>
    <w:rsid w:val="007E5E14"/>
    <w:rsid w:val="007E614B"/>
    <w:rsid w:val="007E63DB"/>
    <w:rsid w:val="007E63EB"/>
    <w:rsid w:val="007E73FB"/>
    <w:rsid w:val="007E77B6"/>
    <w:rsid w:val="007E78A3"/>
    <w:rsid w:val="007F083A"/>
    <w:rsid w:val="007F1DA6"/>
    <w:rsid w:val="007F2679"/>
    <w:rsid w:val="007F299B"/>
    <w:rsid w:val="007F32EC"/>
    <w:rsid w:val="007F477D"/>
    <w:rsid w:val="007F4A13"/>
    <w:rsid w:val="007F4C75"/>
    <w:rsid w:val="007F50D9"/>
    <w:rsid w:val="007F5F43"/>
    <w:rsid w:val="007F681F"/>
    <w:rsid w:val="007F720D"/>
    <w:rsid w:val="0080084A"/>
    <w:rsid w:val="00804D9A"/>
    <w:rsid w:val="00807475"/>
    <w:rsid w:val="008101B2"/>
    <w:rsid w:val="008104AD"/>
    <w:rsid w:val="00810735"/>
    <w:rsid w:val="008110C4"/>
    <w:rsid w:val="008112D4"/>
    <w:rsid w:val="00811A81"/>
    <w:rsid w:val="008123BA"/>
    <w:rsid w:val="00812AB4"/>
    <w:rsid w:val="00812C08"/>
    <w:rsid w:val="0081352F"/>
    <w:rsid w:val="00813549"/>
    <w:rsid w:val="0081626A"/>
    <w:rsid w:val="00817443"/>
    <w:rsid w:val="00821A22"/>
    <w:rsid w:val="0082227D"/>
    <w:rsid w:val="00822D7D"/>
    <w:rsid w:val="00823CEA"/>
    <w:rsid w:val="00823D0B"/>
    <w:rsid w:val="00824465"/>
    <w:rsid w:val="00824DA1"/>
    <w:rsid w:val="008260A9"/>
    <w:rsid w:val="008268DA"/>
    <w:rsid w:val="00833C5A"/>
    <w:rsid w:val="00833DBB"/>
    <w:rsid w:val="008353E0"/>
    <w:rsid w:val="00836CCD"/>
    <w:rsid w:val="008379D9"/>
    <w:rsid w:val="00837A69"/>
    <w:rsid w:val="00840FA9"/>
    <w:rsid w:val="00842084"/>
    <w:rsid w:val="00842275"/>
    <w:rsid w:val="00842683"/>
    <w:rsid w:val="00842BFE"/>
    <w:rsid w:val="00843384"/>
    <w:rsid w:val="008434AE"/>
    <w:rsid w:val="0084370F"/>
    <w:rsid w:val="00843842"/>
    <w:rsid w:val="00843A7F"/>
    <w:rsid w:val="008444E6"/>
    <w:rsid w:val="00845629"/>
    <w:rsid w:val="00845FB0"/>
    <w:rsid w:val="0084632E"/>
    <w:rsid w:val="00846AEB"/>
    <w:rsid w:val="00847220"/>
    <w:rsid w:val="00847737"/>
    <w:rsid w:val="00847F7C"/>
    <w:rsid w:val="0085096C"/>
    <w:rsid w:val="00851FBD"/>
    <w:rsid w:val="00852945"/>
    <w:rsid w:val="00852B1D"/>
    <w:rsid w:val="008534A0"/>
    <w:rsid w:val="008541BA"/>
    <w:rsid w:val="00854C0C"/>
    <w:rsid w:val="008553EA"/>
    <w:rsid w:val="008565A0"/>
    <w:rsid w:val="00856786"/>
    <w:rsid w:val="00857E39"/>
    <w:rsid w:val="00857F6E"/>
    <w:rsid w:val="00860417"/>
    <w:rsid w:val="008604AC"/>
    <w:rsid w:val="00861B6A"/>
    <w:rsid w:val="00863969"/>
    <w:rsid w:val="00863E54"/>
    <w:rsid w:val="00864096"/>
    <w:rsid w:val="0086679F"/>
    <w:rsid w:val="008679B2"/>
    <w:rsid w:val="00867DE0"/>
    <w:rsid w:val="00871158"/>
    <w:rsid w:val="0087136D"/>
    <w:rsid w:val="00871E32"/>
    <w:rsid w:val="00872507"/>
    <w:rsid w:val="008732F7"/>
    <w:rsid w:val="008744A2"/>
    <w:rsid w:val="00874840"/>
    <w:rsid w:val="00874BA6"/>
    <w:rsid w:val="00874E8A"/>
    <w:rsid w:val="00875E86"/>
    <w:rsid w:val="00876FAB"/>
    <w:rsid w:val="0088002B"/>
    <w:rsid w:val="00880514"/>
    <w:rsid w:val="008809B7"/>
    <w:rsid w:val="00880B75"/>
    <w:rsid w:val="0088199E"/>
    <w:rsid w:val="00884582"/>
    <w:rsid w:val="00884866"/>
    <w:rsid w:val="00885060"/>
    <w:rsid w:val="008850C2"/>
    <w:rsid w:val="00886187"/>
    <w:rsid w:val="0088620F"/>
    <w:rsid w:val="008864FF"/>
    <w:rsid w:val="00886FF4"/>
    <w:rsid w:val="0088759E"/>
    <w:rsid w:val="008908C2"/>
    <w:rsid w:val="00891507"/>
    <w:rsid w:val="00891F97"/>
    <w:rsid w:val="008925B7"/>
    <w:rsid w:val="00893131"/>
    <w:rsid w:val="00894ECA"/>
    <w:rsid w:val="008962B4"/>
    <w:rsid w:val="00896FDC"/>
    <w:rsid w:val="00897D29"/>
    <w:rsid w:val="008A05A3"/>
    <w:rsid w:val="008A0803"/>
    <w:rsid w:val="008A11EF"/>
    <w:rsid w:val="008A12EF"/>
    <w:rsid w:val="008A2DF9"/>
    <w:rsid w:val="008A3111"/>
    <w:rsid w:val="008A4C44"/>
    <w:rsid w:val="008A7B1A"/>
    <w:rsid w:val="008A7EFC"/>
    <w:rsid w:val="008B0222"/>
    <w:rsid w:val="008B2316"/>
    <w:rsid w:val="008B49A4"/>
    <w:rsid w:val="008B5EED"/>
    <w:rsid w:val="008B6CDE"/>
    <w:rsid w:val="008C0377"/>
    <w:rsid w:val="008C06DA"/>
    <w:rsid w:val="008C0A46"/>
    <w:rsid w:val="008C268A"/>
    <w:rsid w:val="008C3D38"/>
    <w:rsid w:val="008C558D"/>
    <w:rsid w:val="008C5D47"/>
    <w:rsid w:val="008C5DE8"/>
    <w:rsid w:val="008C6488"/>
    <w:rsid w:val="008D0191"/>
    <w:rsid w:val="008D0655"/>
    <w:rsid w:val="008D31E9"/>
    <w:rsid w:val="008D465A"/>
    <w:rsid w:val="008D5CA8"/>
    <w:rsid w:val="008D72D0"/>
    <w:rsid w:val="008E1B68"/>
    <w:rsid w:val="008E1C8F"/>
    <w:rsid w:val="008E2011"/>
    <w:rsid w:val="008E2A4D"/>
    <w:rsid w:val="008E4281"/>
    <w:rsid w:val="008E6E9C"/>
    <w:rsid w:val="008E7CB2"/>
    <w:rsid w:val="008E7F8C"/>
    <w:rsid w:val="008F0BA8"/>
    <w:rsid w:val="008F11F6"/>
    <w:rsid w:val="008F131A"/>
    <w:rsid w:val="008F2D19"/>
    <w:rsid w:val="008F3679"/>
    <w:rsid w:val="008F3AE2"/>
    <w:rsid w:val="008F517D"/>
    <w:rsid w:val="008F5B11"/>
    <w:rsid w:val="008F5D4B"/>
    <w:rsid w:val="008F6D53"/>
    <w:rsid w:val="009004AD"/>
    <w:rsid w:val="009009E5"/>
    <w:rsid w:val="009017C6"/>
    <w:rsid w:val="00901B45"/>
    <w:rsid w:val="00901C4B"/>
    <w:rsid w:val="00901F9D"/>
    <w:rsid w:val="009023DD"/>
    <w:rsid w:val="009026C4"/>
    <w:rsid w:val="00902A67"/>
    <w:rsid w:val="00903E32"/>
    <w:rsid w:val="00904127"/>
    <w:rsid w:val="00904536"/>
    <w:rsid w:val="009048B2"/>
    <w:rsid w:val="00904DBD"/>
    <w:rsid w:val="0090534D"/>
    <w:rsid w:val="00905507"/>
    <w:rsid w:val="00906623"/>
    <w:rsid w:val="00907B8C"/>
    <w:rsid w:val="00907EE8"/>
    <w:rsid w:val="00911AE9"/>
    <w:rsid w:val="00912173"/>
    <w:rsid w:val="00912DDF"/>
    <w:rsid w:val="00914021"/>
    <w:rsid w:val="00914BB9"/>
    <w:rsid w:val="009158A9"/>
    <w:rsid w:val="00915C5E"/>
    <w:rsid w:val="009175F4"/>
    <w:rsid w:val="00917FC7"/>
    <w:rsid w:val="009206E6"/>
    <w:rsid w:val="00921232"/>
    <w:rsid w:val="009220D2"/>
    <w:rsid w:val="009238D7"/>
    <w:rsid w:val="00923954"/>
    <w:rsid w:val="00923E78"/>
    <w:rsid w:val="00925CB2"/>
    <w:rsid w:val="0092715A"/>
    <w:rsid w:val="00927383"/>
    <w:rsid w:val="00930ECB"/>
    <w:rsid w:val="00931C15"/>
    <w:rsid w:val="009323DA"/>
    <w:rsid w:val="009327CF"/>
    <w:rsid w:val="0093351C"/>
    <w:rsid w:val="00934544"/>
    <w:rsid w:val="00935F01"/>
    <w:rsid w:val="009369D9"/>
    <w:rsid w:val="00942C94"/>
    <w:rsid w:val="009432AF"/>
    <w:rsid w:val="0094337E"/>
    <w:rsid w:val="00943C61"/>
    <w:rsid w:val="009447A4"/>
    <w:rsid w:val="0094541F"/>
    <w:rsid w:val="009467E1"/>
    <w:rsid w:val="00947932"/>
    <w:rsid w:val="009520C4"/>
    <w:rsid w:val="00952801"/>
    <w:rsid w:val="009529CE"/>
    <w:rsid w:val="009542C2"/>
    <w:rsid w:val="00955047"/>
    <w:rsid w:val="0095517F"/>
    <w:rsid w:val="009560A7"/>
    <w:rsid w:val="0095610E"/>
    <w:rsid w:val="00956901"/>
    <w:rsid w:val="00957910"/>
    <w:rsid w:val="00957BF7"/>
    <w:rsid w:val="00960287"/>
    <w:rsid w:val="00961075"/>
    <w:rsid w:val="009616AD"/>
    <w:rsid w:val="00961F4B"/>
    <w:rsid w:val="00964C7F"/>
    <w:rsid w:val="00965134"/>
    <w:rsid w:val="00965410"/>
    <w:rsid w:val="0096579C"/>
    <w:rsid w:val="00966DC8"/>
    <w:rsid w:val="00970ED9"/>
    <w:rsid w:val="00971B65"/>
    <w:rsid w:val="00971DD1"/>
    <w:rsid w:val="00972895"/>
    <w:rsid w:val="00973468"/>
    <w:rsid w:val="00973BD6"/>
    <w:rsid w:val="00975F6A"/>
    <w:rsid w:val="009773D5"/>
    <w:rsid w:val="0097796A"/>
    <w:rsid w:val="00980D26"/>
    <w:rsid w:val="009813EC"/>
    <w:rsid w:val="0098241D"/>
    <w:rsid w:val="0098275B"/>
    <w:rsid w:val="009827AF"/>
    <w:rsid w:val="00982933"/>
    <w:rsid w:val="0098474A"/>
    <w:rsid w:val="009851B7"/>
    <w:rsid w:val="00985288"/>
    <w:rsid w:val="00985913"/>
    <w:rsid w:val="00985915"/>
    <w:rsid w:val="00985B34"/>
    <w:rsid w:val="0098669D"/>
    <w:rsid w:val="00987360"/>
    <w:rsid w:val="00987615"/>
    <w:rsid w:val="00990D10"/>
    <w:rsid w:val="0099278A"/>
    <w:rsid w:val="00995001"/>
    <w:rsid w:val="00995152"/>
    <w:rsid w:val="00995D76"/>
    <w:rsid w:val="00995E9F"/>
    <w:rsid w:val="0099630A"/>
    <w:rsid w:val="00997606"/>
    <w:rsid w:val="00997AE5"/>
    <w:rsid w:val="009A2C34"/>
    <w:rsid w:val="009A355D"/>
    <w:rsid w:val="009A3F2A"/>
    <w:rsid w:val="009A40D8"/>
    <w:rsid w:val="009A48DE"/>
    <w:rsid w:val="009A4994"/>
    <w:rsid w:val="009A4F9F"/>
    <w:rsid w:val="009A6215"/>
    <w:rsid w:val="009A771E"/>
    <w:rsid w:val="009A7870"/>
    <w:rsid w:val="009B0DEE"/>
    <w:rsid w:val="009B2A21"/>
    <w:rsid w:val="009B2C7B"/>
    <w:rsid w:val="009B4080"/>
    <w:rsid w:val="009B4ABB"/>
    <w:rsid w:val="009B5385"/>
    <w:rsid w:val="009B560E"/>
    <w:rsid w:val="009B5D8D"/>
    <w:rsid w:val="009C008D"/>
    <w:rsid w:val="009C0B9D"/>
    <w:rsid w:val="009C193C"/>
    <w:rsid w:val="009C1C46"/>
    <w:rsid w:val="009C1D83"/>
    <w:rsid w:val="009C3CC0"/>
    <w:rsid w:val="009C3D26"/>
    <w:rsid w:val="009C435C"/>
    <w:rsid w:val="009C5725"/>
    <w:rsid w:val="009C6039"/>
    <w:rsid w:val="009C67C3"/>
    <w:rsid w:val="009D2863"/>
    <w:rsid w:val="009D2A40"/>
    <w:rsid w:val="009D55A0"/>
    <w:rsid w:val="009D56E0"/>
    <w:rsid w:val="009D5939"/>
    <w:rsid w:val="009D6531"/>
    <w:rsid w:val="009D6E73"/>
    <w:rsid w:val="009E0B58"/>
    <w:rsid w:val="009E33DF"/>
    <w:rsid w:val="009E3F3E"/>
    <w:rsid w:val="009E41A7"/>
    <w:rsid w:val="009E51C0"/>
    <w:rsid w:val="009E5220"/>
    <w:rsid w:val="009E5682"/>
    <w:rsid w:val="009E79B4"/>
    <w:rsid w:val="009F01E1"/>
    <w:rsid w:val="009F1590"/>
    <w:rsid w:val="009F1C80"/>
    <w:rsid w:val="009F20D6"/>
    <w:rsid w:val="009F247F"/>
    <w:rsid w:val="009F2B7C"/>
    <w:rsid w:val="009F2F14"/>
    <w:rsid w:val="009F46F7"/>
    <w:rsid w:val="009F4758"/>
    <w:rsid w:val="009F4A4F"/>
    <w:rsid w:val="009F4D69"/>
    <w:rsid w:val="009F54A7"/>
    <w:rsid w:val="009F653A"/>
    <w:rsid w:val="009F6E11"/>
    <w:rsid w:val="009F7015"/>
    <w:rsid w:val="00A015A9"/>
    <w:rsid w:val="00A01B96"/>
    <w:rsid w:val="00A01D39"/>
    <w:rsid w:val="00A024F1"/>
    <w:rsid w:val="00A0285A"/>
    <w:rsid w:val="00A04B22"/>
    <w:rsid w:val="00A05F26"/>
    <w:rsid w:val="00A105B0"/>
    <w:rsid w:val="00A10B3C"/>
    <w:rsid w:val="00A123CC"/>
    <w:rsid w:val="00A12496"/>
    <w:rsid w:val="00A12F95"/>
    <w:rsid w:val="00A133A0"/>
    <w:rsid w:val="00A135CF"/>
    <w:rsid w:val="00A153DF"/>
    <w:rsid w:val="00A156EF"/>
    <w:rsid w:val="00A15704"/>
    <w:rsid w:val="00A15DD3"/>
    <w:rsid w:val="00A16BEE"/>
    <w:rsid w:val="00A17BF5"/>
    <w:rsid w:val="00A21062"/>
    <w:rsid w:val="00A21CBE"/>
    <w:rsid w:val="00A2246D"/>
    <w:rsid w:val="00A2372D"/>
    <w:rsid w:val="00A24265"/>
    <w:rsid w:val="00A2434C"/>
    <w:rsid w:val="00A24735"/>
    <w:rsid w:val="00A24D72"/>
    <w:rsid w:val="00A25546"/>
    <w:rsid w:val="00A269DD"/>
    <w:rsid w:val="00A278D1"/>
    <w:rsid w:val="00A30652"/>
    <w:rsid w:val="00A3074D"/>
    <w:rsid w:val="00A310EE"/>
    <w:rsid w:val="00A31783"/>
    <w:rsid w:val="00A32728"/>
    <w:rsid w:val="00A32E33"/>
    <w:rsid w:val="00A3381A"/>
    <w:rsid w:val="00A33FA2"/>
    <w:rsid w:val="00A358B9"/>
    <w:rsid w:val="00A35B04"/>
    <w:rsid w:val="00A36339"/>
    <w:rsid w:val="00A401CA"/>
    <w:rsid w:val="00A40323"/>
    <w:rsid w:val="00A40550"/>
    <w:rsid w:val="00A4137E"/>
    <w:rsid w:val="00A425B4"/>
    <w:rsid w:val="00A42E89"/>
    <w:rsid w:val="00A438AB"/>
    <w:rsid w:val="00A43D17"/>
    <w:rsid w:val="00A470FF"/>
    <w:rsid w:val="00A501E4"/>
    <w:rsid w:val="00A51AB2"/>
    <w:rsid w:val="00A5300F"/>
    <w:rsid w:val="00A53797"/>
    <w:rsid w:val="00A53A6E"/>
    <w:rsid w:val="00A53D8E"/>
    <w:rsid w:val="00A540EE"/>
    <w:rsid w:val="00A54E2B"/>
    <w:rsid w:val="00A5523D"/>
    <w:rsid w:val="00A55C30"/>
    <w:rsid w:val="00A56E12"/>
    <w:rsid w:val="00A57486"/>
    <w:rsid w:val="00A6022B"/>
    <w:rsid w:val="00A607C1"/>
    <w:rsid w:val="00A60C63"/>
    <w:rsid w:val="00A60F82"/>
    <w:rsid w:val="00A6158F"/>
    <w:rsid w:val="00A61C89"/>
    <w:rsid w:val="00A62B0B"/>
    <w:rsid w:val="00A62D54"/>
    <w:rsid w:val="00A63445"/>
    <w:rsid w:val="00A63836"/>
    <w:rsid w:val="00A64BED"/>
    <w:rsid w:val="00A64C8A"/>
    <w:rsid w:val="00A64E83"/>
    <w:rsid w:val="00A65812"/>
    <w:rsid w:val="00A660DF"/>
    <w:rsid w:val="00A666BF"/>
    <w:rsid w:val="00A66916"/>
    <w:rsid w:val="00A66BC2"/>
    <w:rsid w:val="00A66E01"/>
    <w:rsid w:val="00A67CC9"/>
    <w:rsid w:val="00A67DE0"/>
    <w:rsid w:val="00A7135E"/>
    <w:rsid w:val="00A71987"/>
    <w:rsid w:val="00A72B9E"/>
    <w:rsid w:val="00A72F80"/>
    <w:rsid w:val="00A72FFD"/>
    <w:rsid w:val="00A73D63"/>
    <w:rsid w:val="00A76BDD"/>
    <w:rsid w:val="00A76C0D"/>
    <w:rsid w:val="00A814AA"/>
    <w:rsid w:val="00A81AF0"/>
    <w:rsid w:val="00A82828"/>
    <w:rsid w:val="00A8344E"/>
    <w:rsid w:val="00A8355A"/>
    <w:rsid w:val="00A85EE4"/>
    <w:rsid w:val="00A86214"/>
    <w:rsid w:val="00A8739C"/>
    <w:rsid w:val="00A90E39"/>
    <w:rsid w:val="00A91C74"/>
    <w:rsid w:val="00A92AB6"/>
    <w:rsid w:val="00A93A97"/>
    <w:rsid w:val="00A94221"/>
    <w:rsid w:val="00A95147"/>
    <w:rsid w:val="00A952D4"/>
    <w:rsid w:val="00A9555C"/>
    <w:rsid w:val="00A95643"/>
    <w:rsid w:val="00A95AEE"/>
    <w:rsid w:val="00A9640F"/>
    <w:rsid w:val="00A96DF9"/>
    <w:rsid w:val="00A978D8"/>
    <w:rsid w:val="00A97D0F"/>
    <w:rsid w:val="00AA1488"/>
    <w:rsid w:val="00AA2768"/>
    <w:rsid w:val="00AA64D6"/>
    <w:rsid w:val="00AA686C"/>
    <w:rsid w:val="00AB2382"/>
    <w:rsid w:val="00AB26FF"/>
    <w:rsid w:val="00AB2A32"/>
    <w:rsid w:val="00AB32F7"/>
    <w:rsid w:val="00AB4FCE"/>
    <w:rsid w:val="00AB5C7F"/>
    <w:rsid w:val="00AB76E0"/>
    <w:rsid w:val="00AB7CDF"/>
    <w:rsid w:val="00AC00F3"/>
    <w:rsid w:val="00AC129D"/>
    <w:rsid w:val="00AC12FF"/>
    <w:rsid w:val="00AC20A9"/>
    <w:rsid w:val="00AC31D6"/>
    <w:rsid w:val="00AC31E7"/>
    <w:rsid w:val="00AC38E1"/>
    <w:rsid w:val="00AC39C1"/>
    <w:rsid w:val="00AC3D1A"/>
    <w:rsid w:val="00AC4DAA"/>
    <w:rsid w:val="00AC4E9D"/>
    <w:rsid w:val="00AC5C0D"/>
    <w:rsid w:val="00AC688E"/>
    <w:rsid w:val="00AC7799"/>
    <w:rsid w:val="00AC7D1C"/>
    <w:rsid w:val="00AC7EBA"/>
    <w:rsid w:val="00AC7FEB"/>
    <w:rsid w:val="00AD04BD"/>
    <w:rsid w:val="00AD103D"/>
    <w:rsid w:val="00AD4E07"/>
    <w:rsid w:val="00AD6154"/>
    <w:rsid w:val="00AD663B"/>
    <w:rsid w:val="00AE02F3"/>
    <w:rsid w:val="00AE2C90"/>
    <w:rsid w:val="00AE384A"/>
    <w:rsid w:val="00AE399F"/>
    <w:rsid w:val="00AE4C08"/>
    <w:rsid w:val="00AE4FA7"/>
    <w:rsid w:val="00AE51D1"/>
    <w:rsid w:val="00AE60DA"/>
    <w:rsid w:val="00AE6C1A"/>
    <w:rsid w:val="00AE757D"/>
    <w:rsid w:val="00AF03B6"/>
    <w:rsid w:val="00AF0C7A"/>
    <w:rsid w:val="00AF0EFC"/>
    <w:rsid w:val="00AF15AB"/>
    <w:rsid w:val="00AF1C70"/>
    <w:rsid w:val="00AF2550"/>
    <w:rsid w:val="00AF2EF1"/>
    <w:rsid w:val="00AF3781"/>
    <w:rsid w:val="00AF3D4C"/>
    <w:rsid w:val="00AF476C"/>
    <w:rsid w:val="00AF59C5"/>
    <w:rsid w:val="00AF6009"/>
    <w:rsid w:val="00AF69DA"/>
    <w:rsid w:val="00B00250"/>
    <w:rsid w:val="00B0188B"/>
    <w:rsid w:val="00B01AA2"/>
    <w:rsid w:val="00B01C30"/>
    <w:rsid w:val="00B02E10"/>
    <w:rsid w:val="00B036FE"/>
    <w:rsid w:val="00B04657"/>
    <w:rsid w:val="00B0502C"/>
    <w:rsid w:val="00B05A99"/>
    <w:rsid w:val="00B05A9D"/>
    <w:rsid w:val="00B06537"/>
    <w:rsid w:val="00B07958"/>
    <w:rsid w:val="00B07B2E"/>
    <w:rsid w:val="00B07EB7"/>
    <w:rsid w:val="00B101D2"/>
    <w:rsid w:val="00B11273"/>
    <w:rsid w:val="00B11A95"/>
    <w:rsid w:val="00B121C1"/>
    <w:rsid w:val="00B12CF0"/>
    <w:rsid w:val="00B13899"/>
    <w:rsid w:val="00B14B32"/>
    <w:rsid w:val="00B150A8"/>
    <w:rsid w:val="00B154BB"/>
    <w:rsid w:val="00B1609F"/>
    <w:rsid w:val="00B1684E"/>
    <w:rsid w:val="00B17F2C"/>
    <w:rsid w:val="00B202BA"/>
    <w:rsid w:val="00B20B64"/>
    <w:rsid w:val="00B23169"/>
    <w:rsid w:val="00B235CF"/>
    <w:rsid w:val="00B23C6D"/>
    <w:rsid w:val="00B248E7"/>
    <w:rsid w:val="00B257EE"/>
    <w:rsid w:val="00B25B41"/>
    <w:rsid w:val="00B265E8"/>
    <w:rsid w:val="00B27ACC"/>
    <w:rsid w:val="00B30063"/>
    <w:rsid w:val="00B30E69"/>
    <w:rsid w:val="00B32010"/>
    <w:rsid w:val="00B33288"/>
    <w:rsid w:val="00B3341F"/>
    <w:rsid w:val="00B363E9"/>
    <w:rsid w:val="00B37DF8"/>
    <w:rsid w:val="00B37E73"/>
    <w:rsid w:val="00B4024D"/>
    <w:rsid w:val="00B40B9E"/>
    <w:rsid w:val="00B40E36"/>
    <w:rsid w:val="00B40EFF"/>
    <w:rsid w:val="00B4468B"/>
    <w:rsid w:val="00B45278"/>
    <w:rsid w:val="00B455FE"/>
    <w:rsid w:val="00B45E85"/>
    <w:rsid w:val="00B46142"/>
    <w:rsid w:val="00B46B8D"/>
    <w:rsid w:val="00B47B2B"/>
    <w:rsid w:val="00B50BD5"/>
    <w:rsid w:val="00B51451"/>
    <w:rsid w:val="00B5254F"/>
    <w:rsid w:val="00B52A01"/>
    <w:rsid w:val="00B52FA9"/>
    <w:rsid w:val="00B53CDE"/>
    <w:rsid w:val="00B57C54"/>
    <w:rsid w:val="00B57FD6"/>
    <w:rsid w:val="00B60A77"/>
    <w:rsid w:val="00B60B18"/>
    <w:rsid w:val="00B612D6"/>
    <w:rsid w:val="00B61B73"/>
    <w:rsid w:val="00B62C31"/>
    <w:rsid w:val="00B65CDB"/>
    <w:rsid w:val="00B65EB5"/>
    <w:rsid w:val="00B66284"/>
    <w:rsid w:val="00B674F8"/>
    <w:rsid w:val="00B67F70"/>
    <w:rsid w:val="00B70826"/>
    <w:rsid w:val="00B71397"/>
    <w:rsid w:val="00B71AC2"/>
    <w:rsid w:val="00B723F3"/>
    <w:rsid w:val="00B724CF"/>
    <w:rsid w:val="00B73C59"/>
    <w:rsid w:val="00B74CC7"/>
    <w:rsid w:val="00B75582"/>
    <w:rsid w:val="00B80D67"/>
    <w:rsid w:val="00B81A80"/>
    <w:rsid w:val="00B825EE"/>
    <w:rsid w:val="00B82E3D"/>
    <w:rsid w:val="00B83A99"/>
    <w:rsid w:val="00B85040"/>
    <w:rsid w:val="00B856CC"/>
    <w:rsid w:val="00B8585A"/>
    <w:rsid w:val="00B870D0"/>
    <w:rsid w:val="00B91C2F"/>
    <w:rsid w:val="00B92283"/>
    <w:rsid w:val="00B9293A"/>
    <w:rsid w:val="00B929B1"/>
    <w:rsid w:val="00B94D34"/>
    <w:rsid w:val="00B96220"/>
    <w:rsid w:val="00B972DC"/>
    <w:rsid w:val="00B973D6"/>
    <w:rsid w:val="00B97655"/>
    <w:rsid w:val="00BA0DB1"/>
    <w:rsid w:val="00BA1823"/>
    <w:rsid w:val="00BA1CB9"/>
    <w:rsid w:val="00BA23A9"/>
    <w:rsid w:val="00BA2A1C"/>
    <w:rsid w:val="00BA3850"/>
    <w:rsid w:val="00BA3A36"/>
    <w:rsid w:val="00BA4335"/>
    <w:rsid w:val="00BA4940"/>
    <w:rsid w:val="00BA4F88"/>
    <w:rsid w:val="00BA55D0"/>
    <w:rsid w:val="00BA5DBA"/>
    <w:rsid w:val="00BA6964"/>
    <w:rsid w:val="00BA76F6"/>
    <w:rsid w:val="00BA7941"/>
    <w:rsid w:val="00BB1017"/>
    <w:rsid w:val="00BB16D2"/>
    <w:rsid w:val="00BB205A"/>
    <w:rsid w:val="00BB2680"/>
    <w:rsid w:val="00BB39AF"/>
    <w:rsid w:val="00BB4531"/>
    <w:rsid w:val="00BB5123"/>
    <w:rsid w:val="00BB554C"/>
    <w:rsid w:val="00BB5C0E"/>
    <w:rsid w:val="00BB5E28"/>
    <w:rsid w:val="00BC03BE"/>
    <w:rsid w:val="00BC08FC"/>
    <w:rsid w:val="00BC14D1"/>
    <w:rsid w:val="00BC1501"/>
    <w:rsid w:val="00BC1F54"/>
    <w:rsid w:val="00BC37F0"/>
    <w:rsid w:val="00BC4712"/>
    <w:rsid w:val="00BC4A9D"/>
    <w:rsid w:val="00BC50FF"/>
    <w:rsid w:val="00BC5272"/>
    <w:rsid w:val="00BC6325"/>
    <w:rsid w:val="00BC754D"/>
    <w:rsid w:val="00BC75B9"/>
    <w:rsid w:val="00BC79BF"/>
    <w:rsid w:val="00BC79D2"/>
    <w:rsid w:val="00BC7E83"/>
    <w:rsid w:val="00BD119D"/>
    <w:rsid w:val="00BD1ABC"/>
    <w:rsid w:val="00BD1CC3"/>
    <w:rsid w:val="00BD1D2A"/>
    <w:rsid w:val="00BD24F0"/>
    <w:rsid w:val="00BD304D"/>
    <w:rsid w:val="00BD3672"/>
    <w:rsid w:val="00BD3DEF"/>
    <w:rsid w:val="00BD6A61"/>
    <w:rsid w:val="00BD77F4"/>
    <w:rsid w:val="00BD7861"/>
    <w:rsid w:val="00BE0EA8"/>
    <w:rsid w:val="00BE1034"/>
    <w:rsid w:val="00BE258F"/>
    <w:rsid w:val="00BE2D0A"/>
    <w:rsid w:val="00BE2F25"/>
    <w:rsid w:val="00BE46DA"/>
    <w:rsid w:val="00BE4C40"/>
    <w:rsid w:val="00BE4EB4"/>
    <w:rsid w:val="00BE5408"/>
    <w:rsid w:val="00BE5FDF"/>
    <w:rsid w:val="00BE633F"/>
    <w:rsid w:val="00BE6517"/>
    <w:rsid w:val="00BF0EF9"/>
    <w:rsid w:val="00BF19A7"/>
    <w:rsid w:val="00BF30DB"/>
    <w:rsid w:val="00BF31C1"/>
    <w:rsid w:val="00BF3E12"/>
    <w:rsid w:val="00BF3E9F"/>
    <w:rsid w:val="00BF40F0"/>
    <w:rsid w:val="00BF5456"/>
    <w:rsid w:val="00BF556B"/>
    <w:rsid w:val="00BF5CB4"/>
    <w:rsid w:val="00BF60F0"/>
    <w:rsid w:val="00BF629B"/>
    <w:rsid w:val="00BF6735"/>
    <w:rsid w:val="00BF7463"/>
    <w:rsid w:val="00BF7EA8"/>
    <w:rsid w:val="00C00027"/>
    <w:rsid w:val="00C00C9F"/>
    <w:rsid w:val="00C00DED"/>
    <w:rsid w:val="00C015FD"/>
    <w:rsid w:val="00C0197C"/>
    <w:rsid w:val="00C02D61"/>
    <w:rsid w:val="00C03257"/>
    <w:rsid w:val="00C04D63"/>
    <w:rsid w:val="00C050DE"/>
    <w:rsid w:val="00C05E4A"/>
    <w:rsid w:val="00C064FA"/>
    <w:rsid w:val="00C06B40"/>
    <w:rsid w:val="00C06F1E"/>
    <w:rsid w:val="00C07FBE"/>
    <w:rsid w:val="00C10416"/>
    <w:rsid w:val="00C10626"/>
    <w:rsid w:val="00C10950"/>
    <w:rsid w:val="00C11680"/>
    <w:rsid w:val="00C11EE9"/>
    <w:rsid w:val="00C13732"/>
    <w:rsid w:val="00C141D8"/>
    <w:rsid w:val="00C15642"/>
    <w:rsid w:val="00C1734E"/>
    <w:rsid w:val="00C215F8"/>
    <w:rsid w:val="00C2273D"/>
    <w:rsid w:val="00C22A79"/>
    <w:rsid w:val="00C24E76"/>
    <w:rsid w:val="00C271DB"/>
    <w:rsid w:val="00C311CF"/>
    <w:rsid w:val="00C32D40"/>
    <w:rsid w:val="00C341D6"/>
    <w:rsid w:val="00C35A5B"/>
    <w:rsid w:val="00C3622B"/>
    <w:rsid w:val="00C36FDB"/>
    <w:rsid w:val="00C4007A"/>
    <w:rsid w:val="00C410F1"/>
    <w:rsid w:val="00C41EBE"/>
    <w:rsid w:val="00C42AE1"/>
    <w:rsid w:val="00C42E85"/>
    <w:rsid w:val="00C435D5"/>
    <w:rsid w:val="00C43950"/>
    <w:rsid w:val="00C44912"/>
    <w:rsid w:val="00C45EFE"/>
    <w:rsid w:val="00C4611F"/>
    <w:rsid w:val="00C46A5C"/>
    <w:rsid w:val="00C46E5A"/>
    <w:rsid w:val="00C509A1"/>
    <w:rsid w:val="00C50F02"/>
    <w:rsid w:val="00C52C33"/>
    <w:rsid w:val="00C53B57"/>
    <w:rsid w:val="00C53E92"/>
    <w:rsid w:val="00C54323"/>
    <w:rsid w:val="00C54383"/>
    <w:rsid w:val="00C55E5B"/>
    <w:rsid w:val="00C5615A"/>
    <w:rsid w:val="00C57BB4"/>
    <w:rsid w:val="00C57DF3"/>
    <w:rsid w:val="00C60313"/>
    <w:rsid w:val="00C6141D"/>
    <w:rsid w:val="00C616A5"/>
    <w:rsid w:val="00C6188C"/>
    <w:rsid w:val="00C6190E"/>
    <w:rsid w:val="00C61F33"/>
    <w:rsid w:val="00C62466"/>
    <w:rsid w:val="00C62BC7"/>
    <w:rsid w:val="00C63400"/>
    <w:rsid w:val="00C634A9"/>
    <w:rsid w:val="00C63576"/>
    <w:rsid w:val="00C63A54"/>
    <w:rsid w:val="00C63C89"/>
    <w:rsid w:val="00C65784"/>
    <w:rsid w:val="00C66642"/>
    <w:rsid w:val="00C66AC8"/>
    <w:rsid w:val="00C67323"/>
    <w:rsid w:val="00C67716"/>
    <w:rsid w:val="00C677AF"/>
    <w:rsid w:val="00C70389"/>
    <w:rsid w:val="00C71D01"/>
    <w:rsid w:val="00C71E55"/>
    <w:rsid w:val="00C72153"/>
    <w:rsid w:val="00C729B6"/>
    <w:rsid w:val="00C72EB4"/>
    <w:rsid w:val="00C749F3"/>
    <w:rsid w:val="00C75104"/>
    <w:rsid w:val="00C76D9C"/>
    <w:rsid w:val="00C81441"/>
    <w:rsid w:val="00C82883"/>
    <w:rsid w:val="00C86958"/>
    <w:rsid w:val="00C8722C"/>
    <w:rsid w:val="00C87287"/>
    <w:rsid w:val="00C9104D"/>
    <w:rsid w:val="00C91B11"/>
    <w:rsid w:val="00C91DA0"/>
    <w:rsid w:val="00C92588"/>
    <w:rsid w:val="00C9276D"/>
    <w:rsid w:val="00C92F7F"/>
    <w:rsid w:val="00C93782"/>
    <w:rsid w:val="00C93CF4"/>
    <w:rsid w:val="00C93DD7"/>
    <w:rsid w:val="00C94760"/>
    <w:rsid w:val="00C95390"/>
    <w:rsid w:val="00C95C04"/>
    <w:rsid w:val="00C95DB7"/>
    <w:rsid w:val="00C95E9B"/>
    <w:rsid w:val="00C961C4"/>
    <w:rsid w:val="00C963F4"/>
    <w:rsid w:val="00CA0AD2"/>
    <w:rsid w:val="00CA2561"/>
    <w:rsid w:val="00CA282F"/>
    <w:rsid w:val="00CA3AE5"/>
    <w:rsid w:val="00CA4AF0"/>
    <w:rsid w:val="00CA51DC"/>
    <w:rsid w:val="00CB219D"/>
    <w:rsid w:val="00CB3442"/>
    <w:rsid w:val="00CB530D"/>
    <w:rsid w:val="00CB5913"/>
    <w:rsid w:val="00CB5B56"/>
    <w:rsid w:val="00CC06F1"/>
    <w:rsid w:val="00CC0BC4"/>
    <w:rsid w:val="00CC1844"/>
    <w:rsid w:val="00CC3BE3"/>
    <w:rsid w:val="00CC432B"/>
    <w:rsid w:val="00CC4C08"/>
    <w:rsid w:val="00CC6DB3"/>
    <w:rsid w:val="00CC7490"/>
    <w:rsid w:val="00CD1519"/>
    <w:rsid w:val="00CD18AE"/>
    <w:rsid w:val="00CD199A"/>
    <w:rsid w:val="00CD2276"/>
    <w:rsid w:val="00CD2D29"/>
    <w:rsid w:val="00CD3472"/>
    <w:rsid w:val="00CD3B2E"/>
    <w:rsid w:val="00CD70A1"/>
    <w:rsid w:val="00CD7A6E"/>
    <w:rsid w:val="00CE032B"/>
    <w:rsid w:val="00CE1343"/>
    <w:rsid w:val="00CE3A3B"/>
    <w:rsid w:val="00CE4239"/>
    <w:rsid w:val="00CE6F74"/>
    <w:rsid w:val="00CE7130"/>
    <w:rsid w:val="00CE76E0"/>
    <w:rsid w:val="00CE78CA"/>
    <w:rsid w:val="00CF0372"/>
    <w:rsid w:val="00CF1ACC"/>
    <w:rsid w:val="00CF3C06"/>
    <w:rsid w:val="00CF40C4"/>
    <w:rsid w:val="00CF45F4"/>
    <w:rsid w:val="00CF4718"/>
    <w:rsid w:val="00CF4C3D"/>
    <w:rsid w:val="00CF4DC6"/>
    <w:rsid w:val="00CF50DF"/>
    <w:rsid w:val="00CF60C9"/>
    <w:rsid w:val="00CF665B"/>
    <w:rsid w:val="00CF71A4"/>
    <w:rsid w:val="00CF7518"/>
    <w:rsid w:val="00D00301"/>
    <w:rsid w:val="00D009B1"/>
    <w:rsid w:val="00D0127E"/>
    <w:rsid w:val="00D0286A"/>
    <w:rsid w:val="00D02993"/>
    <w:rsid w:val="00D03750"/>
    <w:rsid w:val="00D0495D"/>
    <w:rsid w:val="00D05D89"/>
    <w:rsid w:val="00D0630F"/>
    <w:rsid w:val="00D07801"/>
    <w:rsid w:val="00D11DCA"/>
    <w:rsid w:val="00D120E4"/>
    <w:rsid w:val="00D13FC8"/>
    <w:rsid w:val="00D13FD6"/>
    <w:rsid w:val="00D1410C"/>
    <w:rsid w:val="00D1524C"/>
    <w:rsid w:val="00D15468"/>
    <w:rsid w:val="00D15D0E"/>
    <w:rsid w:val="00D21A68"/>
    <w:rsid w:val="00D2211F"/>
    <w:rsid w:val="00D2228C"/>
    <w:rsid w:val="00D227D3"/>
    <w:rsid w:val="00D23201"/>
    <w:rsid w:val="00D23A99"/>
    <w:rsid w:val="00D240C4"/>
    <w:rsid w:val="00D248CD"/>
    <w:rsid w:val="00D25A41"/>
    <w:rsid w:val="00D2740E"/>
    <w:rsid w:val="00D27A9A"/>
    <w:rsid w:val="00D341F8"/>
    <w:rsid w:val="00D36943"/>
    <w:rsid w:val="00D36A2E"/>
    <w:rsid w:val="00D37552"/>
    <w:rsid w:val="00D37C7F"/>
    <w:rsid w:val="00D37F64"/>
    <w:rsid w:val="00D4015C"/>
    <w:rsid w:val="00D407D5"/>
    <w:rsid w:val="00D40F87"/>
    <w:rsid w:val="00D41CDB"/>
    <w:rsid w:val="00D4365F"/>
    <w:rsid w:val="00D4417A"/>
    <w:rsid w:val="00D44FAB"/>
    <w:rsid w:val="00D4717B"/>
    <w:rsid w:val="00D47CFD"/>
    <w:rsid w:val="00D5083C"/>
    <w:rsid w:val="00D50BCB"/>
    <w:rsid w:val="00D512EA"/>
    <w:rsid w:val="00D51ED4"/>
    <w:rsid w:val="00D525C0"/>
    <w:rsid w:val="00D54723"/>
    <w:rsid w:val="00D54AFF"/>
    <w:rsid w:val="00D553B4"/>
    <w:rsid w:val="00D55463"/>
    <w:rsid w:val="00D556BF"/>
    <w:rsid w:val="00D55AD1"/>
    <w:rsid w:val="00D55D1D"/>
    <w:rsid w:val="00D566A4"/>
    <w:rsid w:val="00D567BB"/>
    <w:rsid w:val="00D5716D"/>
    <w:rsid w:val="00D60082"/>
    <w:rsid w:val="00D61C01"/>
    <w:rsid w:val="00D63D6E"/>
    <w:rsid w:val="00D64E4B"/>
    <w:rsid w:val="00D66366"/>
    <w:rsid w:val="00D67F67"/>
    <w:rsid w:val="00D70579"/>
    <w:rsid w:val="00D70A69"/>
    <w:rsid w:val="00D71A23"/>
    <w:rsid w:val="00D71CFE"/>
    <w:rsid w:val="00D73801"/>
    <w:rsid w:val="00D739EE"/>
    <w:rsid w:val="00D7731D"/>
    <w:rsid w:val="00D77387"/>
    <w:rsid w:val="00D7766A"/>
    <w:rsid w:val="00D814C9"/>
    <w:rsid w:val="00D82A83"/>
    <w:rsid w:val="00D837A2"/>
    <w:rsid w:val="00D85BCC"/>
    <w:rsid w:val="00D85C20"/>
    <w:rsid w:val="00D85CC5"/>
    <w:rsid w:val="00D861DF"/>
    <w:rsid w:val="00D868DC"/>
    <w:rsid w:val="00D869F1"/>
    <w:rsid w:val="00D86FBA"/>
    <w:rsid w:val="00D871C0"/>
    <w:rsid w:val="00D8763D"/>
    <w:rsid w:val="00D87869"/>
    <w:rsid w:val="00D90FB4"/>
    <w:rsid w:val="00D91D19"/>
    <w:rsid w:val="00D924CA"/>
    <w:rsid w:val="00D95AD0"/>
    <w:rsid w:val="00D95D19"/>
    <w:rsid w:val="00D95E47"/>
    <w:rsid w:val="00D96832"/>
    <w:rsid w:val="00D968BC"/>
    <w:rsid w:val="00DA0903"/>
    <w:rsid w:val="00DA1642"/>
    <w:rsid w:val="00DA24CB"/>
    <w:rsid w:val="00DA3699"/>
    <w:rsid w:val="00DA4761"/>
    <w:rsid w:val="00DA4B38"/>
    <w:rsid w:val="00DA521B"/>
    <w:rsid w:val="00DA7C55"/>
    <w:rsid w:val="00DB17D4"/>
    <w:rsid w:val="00DB33A4"/>
    <w:rsid w:val="00DB5346"/>
    <w:rsid w:val="00DB56BE"/>
    <w:rsid w:val="00DB59F9"/>
    <w:rsid w:val="00DB5C12"/>
    <w:rsid w:val="00DB5D51"/>
    <w:rsid w:val="00DB5FA9"/>
    <w:rsid w:val="00DB72B7"/>
    <w:rsid w:val="00DB74B9"/>
    <w:rsid w:val="00DB76DB"/>
    <w:rsid w:val="00DB7AA6"/>
    <w:rsid w:val="00DC2392"/>
    <w:rsid w:val="00DC3310"/>
    <w:rsid w:val="00DC4ADB"/>
    <w:rsid w:val="00DC5E33"/>
    <w:rsid w:val="00DC6F5D"/>
    <w:rsid w:val="00DD04CF"/>
    <w:rsid w:val="00DD14B8"/>
    <w:rsid w:val="00DD338F"/>
    <w:rsid w:val="00DD347A"/>
    <w:rsid w:val="00DD46D1"/>
    <w:rsid w:val="00DE0038"/>
    <w:rsid w:val="00DE03B4"/>
    <w:rsid w:val="00DE115D"/>
    <w:rsid w:val="00DE1C65"/>
    <w:rsid w:val="00DE214E"/>
    <w:rsid w:val="00DE2D42"/>
    <w:rsid w:val="00DE63A2"/>
    <w:rsid w:val="00DE76A0"/>
    <w:rsid w:val="00DF01DB"/>
    <w:rsid w:val="00DF117D"/>
    <w:rsid w:val="00DF1516"/>
    <w:rsid w:val="00DF2382"/>
    <w:rsid w:val="00DF3148"/>
    <w:rsid w:val="00DF3D05"/>
    <w:rsid w:val="00DF474F"/>
    <w:rsid w:val="00DF48D7"/>
    <w:rsid w:val="00DF51E9"/>
    <w:rsid w:val="00DF6AE3"/>
    <w:rsid w:val="00DF767B"/>
    <w:rsid w:val="00DF769C"/>
    <w:rsid w:val="00DF773B"/>
    <w:rsid w:val="00DF7818"/>
    <w:rsid w:val="00E00BB6"/>
    <w:rsid w:val="00E03647"/>
    <w:rsid w:val="00E04A54"/>
    <w:rsid w:val="00E057BD"/>
    <w:rsid w:val="00E05FD7"/>
    <w:rsid w:val="00E06E81"/>
    <w:rsid w:val="00E07828"/>
    <w:rsid w:val="00E07D30"/>
    <w:rsid w:val="00E109A1"/>
    <w:rsid w:val="00E11073"/>
    <w:rsid w:val="00E11ACB"/>
    <w:rsid w:val="00E12A58"/>
    <w:rsid w:val="00E1315C"/>
    <w:rsid w:val="00E14E76"/>
    <w:rsid w:val="00E14FB7"/>
    <w:rsid w:val="00E155DF"/>
    <w:rsid w:val="00E15F76"/>
    <w:rsid w:val="00E207C1"/>
    <w:rsid w:val="00E213F1"/>
    <w:rsid w:val="00E21458"/>
    <w:rsid w:val="00E243F8"/>
    <w:rsid w:val="00E24D22"/>
    <w:rsid w:val="00E26280"/>
    <w:rsid w:val="00E27BC1"/>
    <w:rsid w:val="00E27F9C"/>
    <w:rsid w:val="00E34CB9"/>
    <w:rsid w:val="00E37367"/>
    <w:rsid w:val="00E40961"/>
    <w:rsid w:val="00E4163C"/>
    <w:rsid w:val="00E4177C"/>
    <w:rsid w:val="00E4237C"/>
    <w:rsid w:val="00E42853"/>
    <w:rsid w:val="00E43F98"/>
    <w:rsid w:val="00E45949"/>
    <w:rsid w:val="00E45BEC"/>
    <w:rsid w:val="00E465BA"/>
    <w:rsid w:val="00E46B6C"/>
    <w:rsid w:val="00E46C2F"/>
    <w:rsid w:val="00E5044D"/>
    <w:rsid w:val="00E51333"/>
    <w:rsid w:val="00E53A0A"/>
    <w:rsid w:val="00E5523A"/>
    <w:rsid w:val="00E55583"/>
    <w:rsid w:val="00E55951"/>
    <w:rsid w:val="00E55D6C"/>
    <w:rsid w:val="00E5616C"/>
    <w:rsid w:val="00E57786"/>
    <w:rsid w:val="00E5785F"/>
    <w:rsid w:val="00E57A63"/>
    <w:rsid w:val="00E61169"/>
    <w:rsid w:val="00E62205"/>
    <w:rsid w:val="00E62539"/>
    <w:rsid w:val="00E641AB"/>
    <w:rsid w:val="00E64223"/>
    <w:rsid w:val="00E6595F"/>
    <w:rsid w:val="00E67CAD"/>
    <w:rsid w:val="00E67FB8"/>
    <w:rsid w:val="00E720FB"/>
    <w:rsid w:val="00E723FB"/>
    <w:rsid w:val="00E72739"/>
    <w:rsid w:val="00E7284E"/>
    <w:rsid w:val="00E7327B"/>
    <w:rsid w:val="00E736ED"/>
    <w:rsid w:val="00E75846"/>
    <w:rsid w:val="00E76D21"/>
    <w:rsid w:val="00E773D4"/>
    <w:rsid w:val="00E82510"/>
    <w:rsid w:val="00E82825"/>
    <w:rsid w:val="00E82F62"/>
    <w:rsid w:val="00E83B9F"/>
    <w:rsid w:val="00E83CD6"/>
    <w:rsid w:val="00E84180"/>
    <w:rsid w:val="00E85B6E"/>
    <w:rsid w:val="00E85E8E"/>
    <w:rsid w:val="00E85FA1"/>
    <w:rsid w:val="00E874CB"/>
    <w:rsid w:val="00E87A63"/>
    <w:rsid w:val="00E87DF9"/>
    <w:rsid w:val="00E91E68"/>
    <w:rsid w:val="00E95390"/>
    <w:rsid w:val="00E95396"/>
    <w:rsid w:val="00E95E71"/>
    <w:rsid w:val="00E95F1F"/>
    <w:rsid w:val="00E95F31"/>
    <w:rsid w:val="00E96744"/>
    <w:rsid w:val="00E9689C"/>
    <w:rsid w:val="00E9730F"/>
    <w:rsid w:val="00E97A7F"/>
    <w:rsid w:val="00EA1259"/>
    <w:rsid w:val="00EA1DB3"/>
    <w:rsid w:val="00EA439C"/>
    <w:rsid w:val="00EA7F4A"/>
    <w:rsid w:val="00EB2A23"/>
    <w:rsid w:val="00EB33E1"/>
    <w:rsid w:val="00EB3AB3"/>
    <w:rsid w:val="00EB4E36"/>
    <w:rsid w:val="00EB5664"/>
    <w:rsid w:val="00EB56EA"/>
    <w:rsid w:val="00EB58C4"/>
    <w:rsid w:val="00EB5B9D"/>
    <w:rsid w:val="00EB75D1"/>
    <w:rsid w:val="00EB782C"/>
    <w:rsid w:val="00EC0345"/>
    <w:rsid w:val="00EC0EA9"/>
    <w:rsid w:val="00EC12AA"/>
    <w:rsid w:val="00EC234F"/>
    <w:rsid w:val="00EC32EF"/>
    <w:rsid w:val="00EC51EC"/>
    <w:rsid w:val="00EC655E"/>
    <w:rsid w:val="00EC6800"/>
    <w:rsid w:val="00EC6BEE"/>
    <w:rsid w:val="00EC7833"/>
    <w:rsid w:val="00ED4253"/>
    <w:rsid w:val="00ED42BC"/>
    <w:rsid w:val="00ED4D22"/>
    <w:rsid w:val="00ED5701"/>
    <w:rsid w:val="00ED66E2"/>
    <w:rsid w:val="00ED742C"/>
    <w:rsid w:val="00ED7477"/>
    <w:rsid w:val="00ED7C5E"/>
    <w:rsid w:val="00ED7F26"/>
    <w:rsid w:val="00ED7FC5"/>
    <w:rsid w:val="00EE045F"/>
    <w:rsid w:val="00EE09F6"/>
    <w:rsid w:val="00EE0A41"/>
    <w:rsid w:val="00EE2636"/>
    <w:rsid w:val="00EE2D82"/>
    <w:rsid w:val="00EE39BE"/>
    <w:rsid w:val="00EE42C9"/>
    <w:rsid w:val="00EE4D40"/>
    <w:rsid w:val="00EE5093"/>
    <w:rsid w:val="00EE6582"/>
    <w:rsid w:val="00EE7CBB"/>
    <w:rsid w:val="00EF02C2"/>
    <w:rsid w:val="00EF408A"/>
    <w:rsid w:val="00EF5E56"/>
    <w:rsid w:val="00EF64D0"/>
    <w:rsid w:val="00EF78CA"/>
    <w:rsid w:val="00F01516"/>
    <w:rsid w:val="00F02FC8"/>
    <w:rsid w:val="00F0349D"/>
    <w:rsid w:val="00F03B1F"/>
    <w:rsid w:val="00F03EF3"/>
    <w:rsid w:val="00F05DAE"/>
    <w:rsid w:val="00F066DD"/>
    <w:rsid w:val="00F07165"/>
    <w:rsid w:val="00F12467"/>
    <w:rsid w:val="00F14D49"/>
    <w:rsid w:val="00F15058"/>
    <w:rsid w:val="00F16009"/>
    <w:rsid w:val="00F1637C"/>
    <w:rsid w:val="00F16C71"/>
    <w:rsid w:val="00F17704"/>
    <w:rsid w:val="00F17E4C"/>
    <w:rsid w:val="00F21E0D"/>
    <w:rsid w:val="00F22175"/>
    <w:rsid w:val="00F22265"/>
    <w:rsid w:val="00F22302"/>
    <w:rsid w:val="00F22527"/>
    <w:rsid w:val="00F27052"/>
    <w:rsid w:val="00F27631"/>
    <w:rsid w:val="00F277E5"/>
    <w:rsid w:val="00F3032B"/>
    <w:rsid w:val="00F30A01"/>
    <w:rsid w:val="00F33EED"/>
    <w:rsid w:val="00F3574E"/>
    <w:rsid w:val="00F35E4C"/>
    <w:rsid w:val="00F379BE"/>
    <w:rsid w:val="00F4043A"/>
    <w:rsid w:val="00F40C14"/>
    <w:rsid w:val="00F415F8"/>
    <w:rsid w:val="00F417BF"/>
    <w:rsid w:val="00F41FA3"/>
    <w:rsid w:val="00F42DC9"/>
    <w:rsid w:val="00F4315B"/>
    <w:rsid w:val="00F44453"/>
    <w:rsid w:val="00F4460D"/>
    <w:rsid w:val="00F44650"/>
    <w:rsid w:val="00F45D8A"/>
    <w:rsid w:val="00F45EF8"/>
    <w:rsid w:val="00F46E4F"/>
    <w:rsid w:val="00F471AA"/>
    <w:rsid w:val="00F475CF"/>
    <w:rsid w:val="00F50F64"/>
    <w:rsid w:val="00F51592"/>
    <w:rsid w:val="00F52068"/>
    <w:rsid w:val="00F527D1"/>
    <w:rsid w:val="00F54CF0"/>
    <w:rsid w:val="00F557BA"/>
    <w:rsid w:val="00F56573"/>
    <w:rsid w:val="00F570B1"/>
    <w:rsid w:val="00F57274"/>
    <w:rsid w:val="00F61B95"/>
    <w:rsid w:val="00F62F7D"/>
    <w:rsid w:val="00F6397A"/>
    <w:rsid w:val="00F63B34"/>
    <w:rsid w:val="00F63B5F"/>
    <w:rsid w:val="00F6410A"/>
    <w:rsid w:val="00F64FC1"/>
    <w:rsid w:val="00F6519C"/>
    <w:rsid w:val="00F6619F"/>
    <w:rsid w:val="00F7150F"/>
    <w:rsid w:val="00F718AF"/>
    <w:rsid w:val="00F72A7F"/>
    <w:rsid w:val="00F74D2B"/>
    <w:rsid w:val="00F758CB"/>
    <w:rsid w:val="00F769C2"/>
    <w:rsid w:val="00F777DF"/>
    <w:rsid w:val="00F808CE"/>
    <w:rsid w:val="00F822E3"/>
    <w:rsid w:val="00F84169"/>
    <w:rsid w:val="00F853D4"/>
    <w:rsid w:val="00F855BF"/>
    <w:rsid w:val="00F86C4D"/>
    <w:rsid w:val="00F879CA"/>
    <w:rsid w:val="00F87F14"/>
    <w:rsid w:val="00F90D73"/>
    <w:rsid w:val="00F90D9F"/>
    <w:rsid w:val="00F90F5A"/>
    <w:rsid w:val="00F916D3"/>
    <w:rsid w:val="00F92153"/>
    <w:rsid w:val="00F92676"/>
    <w:rsid w:val="00F938EC"/>
    <w:rsid w:val="00F959F4"/>
    <w:rsid w:val="00F96559"/>
    <w:rsid w:val="00F96A5F"/>
    <w:rsid w:val="00F974BF"/>
    <w:rsid w:val="00FA1207"/>
    <w:rsid w:val="00FA1341"/>
    <w:rsid w:val="00FA158E"/>
    <w:rsid w:val="00FA2341"/>
    <w:rsid w:val="00FA2818"/>
    <w:rsid w:val="00FA2947"/>
    <w:rsid w:val="00FA3324"/>
    <w:rsid w:val="00FA396A"/>
    <w:rsid w:val="00FA4D3E"/>
    <w:rsid w:val="00FA53F0"/>
    <w:rsid w:val="00FA5B05"/>
    <w:rsid w:val="00FA5EA3"/>
    <w:rsid w:val="00FA6433"/>
    <w:rsid w:val="00FA6653"/>
    <w:rsid w:val="00FA7405"/>
    <w:rsid w:val="00FA7A83"/>
    <w:rsid w:val="00FB09C0"/>
    <w:rsid w:val="00FB0F17"/>
    <w:rsid w:val="00FB109B"/>
    <w:rsid w:val="00FB1873"/>
    <w:rsid w:val="00FB2720"/>
    <w:rsid w:val="00FB2973"/>
    <w:rsid w:val="00FB452B"/>
    <w:rsid w:val="00FB585D"/>
    <w:rsid w:val="00FC202A"/>
    <w:rsid w:val="00FC235D"/>
    <w:rsid w:val="00FC297C"/>
    <w:rsid w:val="00FC3383"/>
    <w:rsid w:val="00FC3445"/>
    <w:rsid w:val="00FC3663"/>
    <w:rsid w:val="00FC4F93"/>
    <w:rsid w:val="00FC50FB"/>
    <w:rsid w:val="00FC5604"/>
    <w:rsid w:val="00FC5AC5"/>
    <w:rsid w:val="00FC7B4A"/>
    <w:rsid w:val="00FD1E4A"/>
    <w:rsid w:val="00FD29B8"/>
    <w:rsid w:val="00FD2CA5"/>
    <w:rsid w:val="00FD37F4"/>
    <w:rsid w:val="00FD569E"/>
    <w:rsid w:val="00FD5BF9"/>
    <w:rsid w:val="00FD61D7"/>
    <w:rsid w:val="00FD63DA"/>
    <w:rsid w:val="00FD6D10"/>
    <w:rsid w:val="00FD7609"/>
    <w:rsid w:val="00FE0ACA"/>
    <w:rsid w:val="00FE0DF2"/>
    <w:rsid w:val="00FE0F59"/>
    <w:rsid w:val="00FE202E"/>
    <w:rsid w:val="00FE234A"/>
    <w:rsid w:val="00FE2465"/>
    <w:rsid w:val="00FE262B"/>
    <w:rsid w:val="00FE3A6C"/>
    <w:rsid w:val="00FE52EE"/>
    <w:rsid w:val="00FE62E1"/>
    <w:rsid w:val="00FE69B8"/>
    <w:rsid w:val="00FF0073"/>
    <w:rsid w:val="00FF086D"/>
    <w:rsid w:val="00FF2395"/>
    <w:rsid w:val="00FF2B66"/>
    <w:rsid w:val="00FF3209"/>
    <w:rsid w:val="00FF4206"/>
    <w:rsid w:val="00FF448A"/>
    <w:rsid w:val="00FF5059"/>
    <w:rsid w:val="00FF50ED"/>
    <w:rsid w:val="00FF66C0"/>
    <w:rsid w:val="00FF7A79"/>
    <w:rsid w:val="00FF7F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colormru v:ext="edit" colors="#6f6,#3c3"/>
      <o:colormenu v:ext="edit" fillcolor="none" strokecolor="none"/>
    </o:shapedefaults>
    <o:shapelayout v:ext="edit">
      <o:idmap v:ext="edit" data="1,2,3"/>
      <o:rules v:ext="edit">
        <o:r id="V:Rule3" type="connector" idref="#_x0000_s3996"/>
        <o:r id="V:Rule4" type="connector" idref="#_x0000_s3993"/>
      </o:rules>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99" w:qFormat="1"/>
    <w:lsdException w:name="Emphasis" w:uiPriority="20" w:qFormat="1"/>
    <w:lsdException w:name="Normal (Web)" w:uiPriority="99"/>
    <w:lsdException w:name="annotation subject" w:uiPriority="99"/>
    <w:lsdException w:name="No List" w:uiPriority="99"/>
    <w:lsdException w:name="Table Grid 1"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219D"/>
    <w:pPr>
      <w:spacing w:after="120"/>
    </w:pPr>
    <w:rPr>
      <w:sz w:val="22"/>
    </w:rPr>
  </w:style>
  <w:style w:type="paragraph" w:styleId="Heading1">
    <w:name w:val="heading 1"/>
    <w:basedOn w:val="Normal"/>
    <w:next w:val="Normal"/>
    <w:link w:val="Heading1Char"/>
    <w:uiPriority w:val="99"/>
    <w:qFormat/>
    <w:rsid w:val="00110AD5"/>
    <w:pPr>
      <w:keepNext/>
      <w:ind w:left="634"/>
      <w:outlineLvl w:val="0"/>
    </w:pPr>
    <w:rPr>
      <w:sz w:val="28"/>
    </w:rPr>
  </w:style>
  <w:style w:type="paragraph" w:styleId="Heading2">
    <w:name w:val="heading 2"/>
    <w:basedOn w:val="Normal"/>
    <w:next w:val="Normal"/>
    <w:link w:val="Heading2Char"/>
    <w:uiPriority w:val="99"/>
    <w:qFormat/>
    <w:rsid w:val="00110AD5"/>
    <w:pPr>
      <w:keepNext/>
      <w:ind w:left="630"/>
      <w:outlineLvl w:val="1"/>
    </w:pPr>
    <w:rPr>
      <w:i/>
      <w:sz w:val="23"/>
    </w:rPr>
  </w:style>
  <w:style w:type="paragraph" w:styleId="Heading3">
    <w:name w:val="heading 3"/>
    <w:basedOn w:val="Normal"/>
    <w:next w:val="Normal"/>
    <w:link w:val="Heading3Char"/>
    <w:uiPriority w:val="99"/>
    <w:qFormat/>
    <w:rsid w:val="00110AD5"/>
    <w:pPr>
      <w:keepNext/>
      <w:jc w:val="center"/>
      <w:outlineLvl w:val="2"/>
    </w:pPr>
    <w:rPr>
      <w:sz w:val="28"/>
    </w:rPr>
  </w:style>
  <w:style w:type="paragraph" w:styleId="Heading4">
    <w:name w:val="heading 4"/>
    <w:basedOn w:val="Normal"/>
    <w:next w:val="Normal"/>
    <w:link w:val="Heading4Char"/>
    <w:uiPriority w:val="99"/>
    <w:qFormat/>
    <w:rsid w:val="00110AD5"/>
    <w:pPr>
      <w:keepNext/>
      <w:jc w:val="center"/>
      <w:outlineLvl w:val="3"/>
    </w:pPr>
    <w:rPr>
      <w:b/>
    </w:rPr>
  </w:style>
  <w:style w:type="paragraph" w:styleId="Heading5">
    <w:name w:val="heading 5"/>
    <w:basedOn w:val="Normal"/>
    <w:next w:val="Normal"/>
    <w:link w:val="Heading5Char"/>
    <w:uiPriority w:val="99"/>
    <w:qFormat/>
    <w:rsid w:val="00110AD5"/>
    <w:pPr>
      <w:keepNext/>
      <w:ind w:left="720"/>
      <w:outlineLvl w:val="4"/>
    </w:pPr>
    <w:rPr>
      <w:b/>
    </w:rPr>
  </w:style>
  <w:style w:type="paragraph" w:styleId="Heading6">
    <w:name w:val="heading 6"/>
    <w:basedOn w:val="Normal"/>
    <w:next w:val="Normal"/>
    <w:link w:val="Heading6Char"/>
    <w:uiPriority w:val="99"/>
    <w:qFormat/>
    <w:rsid w:val="00110AD5"/>
    <w:pPr>
      <w:keepNext/>
      <w:jc w:val="center"/>
      <w:outlineLvl w:val="5"/>
    </w:pPr>
    <w:rPr>
      <w:b/>
      <w:sz w:val="24"/>
    </w:rPr>
  </w:style>
  <w:style w:type="paragraph" w:styleId="Heading7">
    <w:name w:val="heading 7"/>
    <w:basedOn w:val="Normal"/>
    <w:next w:val="Normal"/>
    <w:link w:val="Heading7Char"/>
    <w:qFormat/>
    <w:rsid w:val="00110AD5"/>
    <w:pPr>
      <w:keepNext/>
      <w:tabs>
        <w:tab w:val="right" w:pos="9648"/>
      </w:tabs>
      <w:spacing w:line="240" w:lineRule="exact"/>
      <w:ind w:left="630"/>
      <w:outlineLvl w:val="6"/>
    </w:pPr>
    <w:rPr>
      <w:b/>
    </w:rPr>
  </w:style>
  <w:style w:type="paragraph" w:styleId="Heading8">
    <w:name w:val="heading 8"/>
    <w:basedOn w:val="Normal"/>
    <w:next w:val="Normal"/>
    <w:link w:val="Heading8Char"/>
    <w:uiPriority w:val="99"/>
    <w:qFormat/>
    <w:rsid w:val="00110AD5"/>
    <w:pPr>
      <w:keepNext/>
      <w:outlineLvl w:val="7"/>
    </w:pPr>
    <w:rPr>
      <w:b/>
      <w:caps/>
    </w:rPr>
  </w:style>
  <w:style w:type="paragraph" w:styleId="Heading9">
    <w:name w:val="heading 9"/>
    <w:basedOn w:val="Normal"/>
    <w:next w:val="Normal"/>
    <w:link w:val="Heading9Char"/>
    <w:uiPriority w:val="99"/>
    <w:qFormat/>
    <w:rsid w:val="00110AD5"/>
    <w:pPr>
      <w:keepNext/>
      <w:ind w:left="360"/>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rsid w:val="00110AD5"/>
    <w:rPr>
      <w:vertAlign w:val="superscript"/>
    </w:rPr>
  </w:style>
  <w:style w:type="paragraph" w:styleId="Header">
    <w:name w:val="header"/>
    <w:basedOn w:val="Normal"/>
    <w:link w:val="HeaderChar"/>
    <w:uiPriority w:val="99"/>
    <w:rsid w:val="00110AD5"/>
    <w:pPr>
      <w:tabs>
        <w:tab w:val="center" w:pos="4320"/>
        <w:tab w:val="right" w:pos="8640"/>
      </w:tabs>
    </w:pPr>
  </w:style>
  <w:style w:type="character" w:styleId="PageNumber">
    <w:name w:val="page number"/>
    <w:basedOn w:val="DefaultParagraphFont"/>
    <w:rsid w:val="00110AD5"/>
  </w:style>
  <w:style w:type="paragraph" w:styleId="Footer">
    <w:name w:val="footer"/>
    <w:basedOn w:val="Normal"/>
    <w:link w:val="FooterChar"/>
    <w:uiPriority w:val="99"/>
    <w:rsid w:val="00110AD5"/>
    <w:pPr>
      <w:tabs>
        <w:tab w:val="center" w:pos="4320"/>
        <w:tab w:val="right" w:pos="8640"/>
      </w:tabs>
    </w:pPr>
  </w:style>
  <w:style w:type="paragraph" w:styleId="BodyTextIndent">
    <w:name w:val="Body Text Indent"/>
    <w:basedOn w:val="Normal"/>
    <w:link w:val="BodyTextIndentChar"/>
    <w:uiPriority w:val="99"/>
    <w:rsid w:val="00110AD5"/>
    <w:pPr>
      <w:ind w:left="634"/>
    </w:pPr>
    <w:rPr>
      <w:sz w:val="24"/>
    </w:rPr>
  </w:style>
  <w:style w:type="paragraph" w:styleId="BodyTextIndent2">
    <w:name w:val="Body Text Indent 2"/>
    <w:basedOn w:val="Normal"/>
    <w:link w:val="BodyTextIndent2Char"/>
    <w:uiPriority w:val="99"/>
    <w:rsid w:val="00110AD5"/>
    <w:pPr>
      <w:tabs>
        <w:tab w:val="left" w:pos="630"/>
      </w:tabs>
      <w:ind w:left="630"/>
    </w:pPr>
    <w:rPr>
      <w:sz w:val="24"/>
    </w:rPr>
  </w:style>
  <w:style w:type="paragraph" w:styleId="BodyTextIndent3">
    <w:name w:val="Body Text Indent 3"/>
    <w:basedOn w:val="Normal"/>
    <w:link w:val="BodyTextIndent3Char"/>
    <w:uiPriority w:val="99"/>
    <w:rsid w:val="00110AD5"/>
    <w:pPr>
      <w:spacing w:before="240"/>
      <w:ind w:left="634"/>
      <w:jc w:val="center"/>
    </w:pPr>
    <w:rPr>
      <w:caps/>
      <w:sz w:val="24"/>
    </w:rPr>
  </w:style>
  <w:style w:type="paragraph" w:styleId="BodyText2">
    <w:name w:val="Body Text 2"/>
    <w:basedOn w:val="Normal"/>
    <w:link w:val="BodyText2Char"/>
    <w:uiPriority w:val="99"/>
    <w:rsid w:val="00110AD5"/>
    <w:pPr>
      <w:numPr>
        <w:ilvl w:val="12"/>
      </w:numPr>
      <w:jc w:val="both"/>
    </w:pPr>
  </w:style>
  <w:style w:type="paragraph" w:styleId="Title">
    <w:name w:val="Title"/>
    <w:basedOn w:val="Normal"/>
    <w:link w:val="TitleChar"/>
    <w:uiPriority w:val="99"/>
    <w:qFormat/>
    <w:rsid w:val="00110AD5"/>
    <w:pPr>
      <w:jc w:val="center"/>
    </w:pPr>
    <w:rPr>
      <w:b/>
      <w:sz w:val="24"/>
    </w:rPr>
  </w:style>
  <w:style w:type="paragraph" w:styleId="BodyText">
    <w:name w:val="Body Text"/>
    <w:aliases w:val="SCA Body Text,SCA Body Text1,SCA Body Text2,SCA Body Text11,BodyText-JEA,BT-JEA"/>
    <w:basedOn w:val="Normal"/>
    <w:link w:val="BodyTextChar"/>
    <w:rsid w:val="00110AD5"/>
    <w:rPr>
      <w:sz w:val="24"/>
    </w:rPr>
  </w:style>
  <w:style w:type="paragraph" w:styleId="BodyText3">
    <w:name w:val="Body Text 3"/>
    <w:basedOn w:val="Normal"/>
    <w:link w:val="BodyText3Char"/>
    <w:uiPriority w:val="99"/>
    <w:rsid w:val="00110AD5"/>
    <w:pPr>
      <w:spacing w:before="120"/>
    </w:pPr>
  </w:style>
  <w:style w:type="paragraph" w:customStyle="1" w:styleId="Style4">
    <w:name w:val="Style4"/>
    <w:next w:val="Normal"/>
    <w:uiPriority w:val="99"/>
    <w:rsid w:val="00110AD5"/>
    <w:rPr>
      <w:noProof/>
      <w:sz w:val="24"/>
    </w:rPr>
  </w:style>
  <w:style w:type="paragraph" w:styleId="BlockText">
    <w:name w:val="Block Text"/>
    <w:basedOn w:val="Normal"/>
    <w:uiPriority w:val="99"/>
    <w:rsid w:val="00110AD5"/>
    <w:pPr>
      <w:ind w:left="720" w:right="43"/>
      <w:jc w:val="both"/>
    </w:pPr>
  </w:style>
  <w:style w:type="character" w:styleId="Hyperlink">
    <w:name w:val="Hyperlink"/>
    <w:basedOn w:val="DefaultParagraphFont"/>
    <w:rsid w:val="00110AD5"/>
    <w:rPr>
      <w:color w:val="0000FF"/>
      <w:u w:val="single"/>
    </w:rPr>
  </w:style>
  <w:style w:type="paragraph" w:customStyle="1" w:styleId="SCATableHeading">
    <w:name w:val="SCA Table Heading"/>
    <w:basedOn w:val="Normal"/>
    <w:uiPriority w:val="99"/>
    <w:rsid w:val="00110AD5"/>
    <w:pPr>
      <w:jc w:val="center"/>
    </w:pPr>
    <w:rPr>
      <w:b/>
      <w:caps/>
    </w:rPr>
  </w:style>
  <w:style w:type="paragraph" w:styleId="Caption">
    <w:name w:val="caption"/>
    <w:basedOn w:val="Normal"/>
    <w:next w:val="Normal"/>
    <w:uiPriority w:val="99"/>
    <w:qFormat/>
    <w:rsid w:val="00110AD5"/>
    <w:pPr>
      <w:spacing w:before="360"/>
    </w:pPr>
    <w:rPr>
      <w:b/>
      <w:caps/>
    </w:rPr>
  </w:style>
  <w:style w:type="paragraph" w:styleId="EndnoteText">
    <w:name w:val="endnote text"/>
    <w:basedOn w:val="Normal"/>
    <w:link w:val="EndnoteTextChar"/>
    <w:uiPriority w:val="99"/>
    <w:semiHidden/>
    <w:rsid w:val="00110AD5"/>
  </w:style>
  <w:style w:type="character" w:styleId="FollowedHyperlink">
    <w:name w:val="FollowedHyperlink"/>
    <w:basedOn w:val="DefaultParagraphFont"/>
    <w:uiPriority w:val="99"/>
    <w:rsid w:val="00110AD5"/>
    <w:rPr>
      <w:color w:val="800080"/>
      <w:u w:val="single"/>
    </w:rPr>
  </w:style>
  <w:style w:type="paragraph" w:styleId="FootnoteText">
    <w:name w:val="footnote text"/>
    <w:basedOn w:val="Normal"/>
    <w:link w:val="FootnoteTextChar"/>
    <w:uiPriority w:val="99"/>
    <w:semiHidden/>
    <w:rsid w:val="00110AD5"/>
  </w:style>
  <w:style w:type="character" w:styleId="FootnoteReference">
    <w:name w:val="footnote reference"/>
    <w:basedOn w:val="DefaultParagraphFont"/>
    <w:uiPriority w:val="99"/>
    <w:semiHidden/>
    <w:rsid w:val="00110AD5"/>
    <w:rPr>
      <w:vertAlign w:val="superscript"/>
    </w:rPr>
  </w:style>
  <w:style w:type="paragraph" w:customStyle="1" w:styleId="font6">
    <w:name w:val="font6"/>
    <w:basedOn w:val="Normal"/>
    <w:rsid w:val="00110AD5"/>
    <w:pPr>
      <w:spacing w:before="100" w:beforeAutospacing="1" w:after="100" w:afterAutospacing="1"/>
    </w:pPr>
    <w:rPr>
      <w:rFonts w:eastAsia="Arial Unicode MS"/>
      <w:szCs w:val="22"/>
    </w:rPr>
  </w:style>
  <w:style w:type="paragraph" w:customStyle="1" w:styleId="Style1">
    <w:name w:val="Style1"/>
    <w:rsid w:val="00ED7C5E"/>
    <w:rPr>
      <w:noProof/>
      <w:sz w:val="24"/>
    </w:rPr>
  </w:style>
  <w:style w:type="paragraph" w:customStyle="1" w:styleId="Default">
    <w:name w:val="Default"/>
    <w:rsid w:val="00110AD5"/>
    <w:pPr>
      <w:autoSpaceDE w:val="0"/>
      <w:autoSpaceDN w:val="0"/>
      <w:adjustRightInd w:val="0"/>
    </w:pPr>
    <w:rPr>
      <w:color w:val="000000"/>
      <w:sz w:val="24"/>
      <w:szCs w:val="24"/>
    </w:rPr>
  </w:style>
  <w:style w:type="character" w:customStyle="1" w:styleId="headline">
    <w:name w:val="headline"/>
    <w:basedOn w:val="DefaultParagraphFont"/>
    <w:uiPriority w:val="99"/>
    <w:rsid w:val="00110AD5"/>
  </w:style>
  <w:style w:type="paragraph" w:styleId="NormalWeb">
    <w:name w:val="Normal (Web)"/>
    <w:basedOn w:val="Normal"/>
    <w:uiPriority w:val="99"/>
    <w:rsid w:val="00110AD5"/>
    <w:pPr>
      <w:spacing w:before="100" w:beforeAutospacing="1" w:after="100" w:afterAutospacing="1"/>
    </w:pPr>
    <w:rPr>
      <w:rFonts w:eastAsia="MS Mincho"/>
      <w:color w:val="000000"/>
      <w:sz w:val="24"/>
      <w:szCs w:val="24"/>
      <w:lang w:eastAsia="ja-JP"/>
    </w:rPr>
  </w:style>
  <w:style w:type="paragraph" w:styleId="BalloonText">
    <w:name w:val="Balloon Text"/>
    <w:basedOn w:val="Normal"/>
    <w:link w:val="BalloonTextChar"/>
    <w:uiPriority w:val="99"/>
    <w:semiHidden/>
    <w:rsid w:val="00110AD5"/>
    <w:rPr>
      <w:rFonts w:ascii="Tahoma" w:hAnsi="Tahoma" w:cs="Tahoma"/>
      <w:sz w:val="16"/>
      <w:szCs w:val="16"/>
    </w:rPr>
  </w:style>
  <w:style w:type="character" w:styleId="CommentReference">
    <w:name w:val="annotation reference"/>
    <w:basedOn w:val="DefaultParagraphFont"/>
    <w:uiPriority w:val="99"/>
    <w:semiHidden/>
    <w:rsid w:val="00110AD5"/>
    <w:rPr>
      <w:sz w:val="16"/>
      <w:szCs w:val="16"/>
    </w:rPr>
  </w:style>
  <w:style w:type="paragraph" w:styleId="CommentText">
    <w:name w:val="annotation text"/>
    <w:basedOn w:val="Normal"/>
    <w:link w:val="CommentTextChar"/>
    <w:uiPriority w:val="99"/>
    <w:semiHidden/>
    <w:rsid w:val="00110AD5"/>
  </w:style>
  <w:style w:type="paragraph" w:styleId="CommentSubject">
    <w:name w:val="annotation subject"/>
    <w:basedOn w:val="CommentText"/>
    <w:next w:val="CommentText"/>
    <w:link w:val="CommentSubjectChar"/>
    <w:uiPriority w:val="99"/>
    <w:semiHidden/>
    <w:rsid w:val="00110AD5"/>
    <w:rPr>
      <w:b/>
      <w:bCs/>
    </w:rPr>
  </w:style>
  <w:style w:type="table" w:styleId="TableGrid">
    <w:name w:val="Table Grid"/>
    <w:basedOn w:val="TableNormal"/>
    <w:rsid w:val="002E17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perTitle">
    <w:name w:val="Paper Title"/>
    <w:basedOn w:val="Heading1"/>
    <w:next w:val="Heading1"/>
    <w:rsid w:val="002E170C"/>
    <w:pPr>
      <w:spacing w:after="240"/>
      <w:ind w:left="0"/>
      <w:outlineLvl w:val="9"/>
    </w:pPr>
    <w:rPr>
      <w:b/>
      <w:kern w:val="28"/>
      <w:sz w:val="36"/>
    </w:rPr>
  </w:style>
  <w:style w:type="character" w:customStyle="1" w:styleId="fldtext1">
    <w:name w:val="fldtext1"/>
    <w:basedOn w:val="DefaultParagraphFont"/>
    <w:rsid w:val="002E170C"/>
    <w:rPr>
      <w:sz w:val="20"/>
      <w:szCs w:val="20"/>
    </w:rPr>
  </w:style>
  <w:style w:type="table" w:styleId="TableGrid1">
    <w:name w:val="Table Grid 1"/>
    <w:basedOn w:val="TableNormal"/>
    <w:uiPriority w:val="99"/>
    <w:rsid w:val="002E17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bodytext0">
    <w:name w:val="bodytext"/>
    <w:basedOn w:val="Normal"/>
    <w:rsid w:val="00F62F7D"/>
    <w:pPr>
      <w:spacing w:before="100" w:beforeAutospacing="1" w:after="100" w:afterAutospacing="1"/>
    </w:pPr>
    <w:rPr>
      <w:rFonts w:eastAsia="MS Mincho"/>
      <w:sz w:val="24"/>
      <w:szCs w:val="24"/>
      <w:lang w:eastAsia="ja-JP"/>
    </w:rPr>
  </w:style>
  <w:style w:type="paragraph" w:customStyle="1" w:styleId="subchapter">
    <w:name w:val="subchapter"/>
    <w:basedOn w:val="Normal"/>
    <w:rsid w:val="0031037F"/>
    <w:pPr>
      <w:spacing w:before="100" w:beforeAutospacing="1" w:after="100" w:afterAutospacing="1"/>
    </w:pPr>
    <w:rPr>
      <w:rFonts w:ascii="Arial" w:eastAsia="MS Mincho" w:hAnsi="Arial" w:cs="Arial"/>
      <w:b/>
      <w:bCs/>
      <w:sz w:val="19"/>
      <w:szCs w:val="19"/>
      <w:lang w:eastAsia="ja-JP"/>
    </w:rPr>
  </w:style>
  <w:style w:type="paragraph" w:customStyle="1" w:styleId="part">
    <w:name w:val="part"/>
    <w:basedOn w:val="Normal"/>
    <w:rsid w:val="0031037F"/>
    <w:pPr>
      <w:spacing w:before="100" w:beforeAutospacing="1" w:after="100" w:afterAutospacing="1"/>
    </w:pPr>
    <w:rPr>
      <w:rFonts w:eastAsia="MS Mincho"/>
      <w:b/>
      <w:bCs/>
      <w:sz w:val="24"/>
      <w:szCs w:val="24"/>
      <w:lang w:eastAsia="ja-JP"/>
    </w:rPr>
  </w:style>
  <w:style w:type="character" w:customStyle="1" w:styleId="chemf">
    <w:name w:val="chemf"/>
    <w:basedOn w:val="DefaultParagraphFont"/>
    <w:rsid w:val="00481112"/>
  </w:style>
  <w:style w:type="paragraph" w:styleId="Date">
    <w:name w:val="Date"/>
    <w:basedOn w:val="Normal"/>
    <w:next w:val="Normal"/>
    <w:rsid w:val="003B7535"/>
  </w:style>
  <w:style w:type="character" w:customStyle="1" w:styleId="FooterChar">
    <w:name w:val="Footer Char"/>
    <w:basedOn w:val="DefaultParagraphFont"/>
    <w:link w:val="Footer"/>
    <w:uiPriority w:val="99"/>
    <w:rsid w:val="00500A22"/>
  </w:style>
  <w:style w:type="character" w:customStyle="1" w:styleId="BodyTextIndentChar">
    <w:name w:val="Body Text Indent Char"/>
    <w:basedOn w:val="DefaultParagraphFont"/>
    <w:link w:val="BodyTextIndent"/>
    <w:uiPriority w:val="99"/>
    <w:rsid w:val="006104D1"/>
    <w:rPr>
      <w:sz w:val="24"/>
    </w:rPr>
  </w:style>
  <w:style w:type="character" w:customStyle="1" w:styleId="BodyTextIndent3Char">
    <w:name w:val="Body Text Indent 3 Char"/>
    <w:basedOn w:val="DefaultParagraphFont"/>
    <w:link w:val="BodyTextIndent3"/>
    <w:uiPriority w:val="99"/>
    <w:rsid w:val="006104D1"/>
    <w:rPr>
      <w:caps/>
      <w:sz w:val="24"/>
    </w:rPr>
  </w:style>
  <w:style w:type="character" w:customStyle="1" w:styleId="BodyText2Char">
    <w:name w:val="Body Text 2 Char"/>
    <w:basedOn w:val="DefaultParagraphFont"/>
    <w:link w:val="BodyText2"/>
    <w:uiPriority w:val="99"/>
    <w:rsid w:val="006104D1"/>
    <w:rPr>
      <w:sz w:val="22"/>
    </w:rPr>
  </w:style>
  <w:style w:type="character" w:customStyle="1" w:styleId="BodyTextChar">
    <w:name w:val="Body Text Char"/>
    <w:aliases w:val="SCA Body Text Char,SCA Body Text1 Char,SCA Body Text2 Char,SCA Body Text11 Char,BodyText-JEA Char,BT-JEA Char"/>
    <w:basedOn w:val="DefaultParagraphFont"/>
    <w:link w:val="BodyText"/>
    <w:uiPriority w:val="99"/>
    <w:rsid w:val="006104D1"/>
    <w:rPr>
      <w:sz w:val="24"/>
    </w:rPr>
  </w:style>
  <w:style w:type="character" w:customStyle="1" w:styleId="Heading7Char">
    <w:name w:val="Heading 7 Char"/>
    <w:basedOn w:val="DefaultParagraphFont"/>
    <w:link w:val="Heading7"/>
    <w:rsid w:val="006104D1"/>
    <w:rPr>
      <w:b/>
      <w:sz w:val="22"/>
    </w:rPr>
  </w:style>
  <w:style w:type="character" w:customStyle="1" w:styleId="BalloonTextChar">
    <w:name w:val="Balloon Text Char"/>
    <w:basedOn w:val="DefaultParagraphFont"/>
    <w:link w:val="BalloonText"/>
    <w:uiPriority w:val="99"/>
    <w:semiHidden/>
    <w:rsid w:val="006104D1"/>
    <w:rPr>
      <w:rFonts w:ascii="Tahoma" w:hAnsi="Tahoma" w:cs="Tahoma"/>
      <w:sz w:val="16"/>
      <w:szCs w:val="16"/>
    </w:rPr>
  </w:style>
  <w:style w:type="paragraph" w:styleId="ListParagraph">
    <w:name w:val="List Paragraph"/>
    <w:basedOn w:val="Normal"/>
    <w:uiPriority w:val="34"/>
    <w:qFormat/>
    <w:rsid w:val="006104D1"/>
    <w:pPr>
      <w:ind w:left="720"/>
      <w:contextualSpacing/>
    </w:pPr>
  </w:style>
  <w:style w:type="character" w:customStyle="1" w:styleId="Heading1Char">
    <w:name w:val="Heading 1 Char"/>
    <w:basedOn w:val="DefaultParagraphFont"/>
    <w:link w:val="Heading1"/>
    <w:uiPriority w:val="99"/>
    <w:rsid w:val="005E0D82"/>
    <w:rPr>
      <w:sz w:val="28"/>
    </w:rPr>
  </w:style>
  <w:style w:type="character" w:customStyle="1" w:styleId="Heading2Char">
    <w:name w:val="Heading 2 Char"/>
    <w:basedOn w:val="DefaultParagraphFont"/>
    <w:link w:val="Heading2"/>
    <w:uiPriority w:val="99"/>
    <w:rsid w:val="005E0D82"/>
    <w:rPr>
      <w:i/>
      <w:sz w:val="23"/>
    </w:rPr>
  </w:style>
  <w:style w:type="character" w:customStyle="1" w:styleId="Heading3Char">
    <w:name w:val="Heading 3 Char"/>
    <w:basedOn w:val="DefaultParagraphFont"/>
    <w:link w:val="Heading3"/>
    <w:uiPriority w:val="99"/>
    <w:rsid w:val="005E0D82"/>
    <w:rPr>
      <w:sz w:val="28"/>
    </w:rPr>
  </w:style>
  <w:style w:type="character" w:customStyle="1" w:styleId="Heading4Char">
    <w:name w:val="Heading 4 Char"/>
    <w:basedOn w:val="DefaultParagraphFont"/>
    <w:link w:val="Heading4"/>
    <w:uiPriority w:val="99"/>
    <w:rsid w:val="005E0D82"/>
    <w:rPr>
      <w:b/>
      <w:sz w:val="22"/>
    </w:rPr>
  </w:style>
  <w:style w:type="character" w:customStyle="1" w:styleId="Heading5Char">
    <w:name w:val="Heading 5 Char"/>
    <w:basedOn w:val="DefaultParagraphFont"/>
    <w:link w:val="Heading5"/>
    <w:uiPriority w:val="99"/>
    <w:rsid w:val="005E0D82"/>
    <w:rPr>
      <w:b/>
      <w:sz w:val="22"/>
    </w:rPr>
  </w:style>
  <w:style w:type="character" w:customStyle="1" w:styleId="Heading6Char">
    <w:name w:val="Heading 6 Char"/>
    <w:basedOn w:val="DefaultParagraphFont"/>
    <w:link w:val="Heading6"/>
    <w:uiPriority w:val="99"/>
    <w:rsid w:val="005E0D82"/>
    <w:rPr>
      <w:b/>
      <w:sz w:val="24"/>
    </w:rPr>
  </w:style>
  <w:style w:type="character" w:customStyle="1" w:styleId="Heading8Char">
    <w:name w:val="Heading 8 Char"/>
    <w:basedOn w:val="DefaultParagraphFont"/>
    <w:link w:val="Heading8"/>
    <w:uiPriority w:val="99"/>
    <w:rsid w:val="005E0D82"/>
    <w:rPr>
      <w:b/>
      <w:caps/>
      <w:sz w:val="22"/>
    </w:rPr>
  </w:style>
  <w:style w:type="character" w:customStyle="1" w:styleId="Heading9Char">
    <w:name w:val="Heading 9 Char"/>
    <w:basedOn w:val="DefaultParagraphFont"/>
    <w:link w:val="Heading9"/>
    <w:uiPriority w:val="99"/>
    <w:rsid w:val="005E0D82"/>
    <w:rPr>
      <w:sz w:val="22"/>
      <w:u w:val="single"/>
    </w:rPr>
  </w:style>
  <w:style w:type="character" w:customStyle="1" w:styleId="HeaderChar">
    <w:name w:val="Header Char"/>
    <w:basedOn w:val="DefaultParagraphFont"/>
    <w:link w:val="Header"/>
    <w:uiPriority w:val="99"/>
    <w:rsid w:val="005E0D82"/>
  </w:style>
  <w:style w:type="character" w:customStyle="1" w:styleId="BodyTextIndent2Char">
    <w:name w:val="Body Text Indent 2 Char"/>
    <w:basedOn w:val="DefaultParagraphFont"/>
    <w:link w:val="BodyTextIndent2"/>
    <w:uiPriority w:val="99"/>
    <w:rsid w:val="005E0D82"/>
    <w:rPr>
      <w:sz w:val="24"/>
    </w:rPr>
  </w:style>
  <w:style w:type="character" w:customStyle="1" w:styleId="TitleChar">
    <w:name w:val="Title Char"/>
    <w:basedOn w:val="DefaultParagraphFont"/>
    <w:link w:val="Title"/>
    <w:uiPriority w:val="99"/>
    <w:rsid w:val="005E0D82"/>
    <w:rPr>
      <w:b/>
      <w:sz w:val="24"/>
    </w:rPr>
  </w:style>
  <w:style w:type="character" w:customStyle="1" w:styleId="BodyText3Char">
    <w:name w:val="Body Text 3 Char"/>
    <w:basedOn w:val="DefaultParagraphFont"/>
    <w:link w:val="BodyText3"/>
    <w:uiPriority w:val="99"/>
    <w:rsid w:val="005E0D82"/>
    <w:rPr>
      <w:sz w:val="22"/>
    </w:rPr>
  </w:style>
  <w:style w:type="character" w:customStyle="1" w:styleId="EndnoteTextChar">
    <w:name w:val="Endnote Text Char"/>
    <w:basedOn w:val="DefaultParagraphFont"/>
    <w:link w:val="EndnoteText"/>
    <w:uiPriority w:val="99"/>
    <w:semiHidden/>
    <w:rsid w:val="005E0D82"/>
  </w:style>
  <w:style w:type="character" w:customStyle="1" w:styleId="FootnoteTextChar">
    <w:name w:val="Footnote Text Char"/>
    <w:basedOn w:val="DefaultParagraphFont"/>
    <w:link w:val="FootnoteText"/>
    <w:uiPriority w:val="99"/>
    <w:semiHidden/>
    <w:rsid w:val="005E0D82"/>
  </w:style>
  <w:style w:type="character" w:customStyle="1" w:styleId="CommentTextChar">
    <w:name w:val="Comment Text Char"/>
    <w:basedOn w:val="DefaultParagraphFont"/>
    <w:link w:val="CommentText"/>
    <w:uiPriority w:val="99"/>
    <w:semiHidden/>
    <w:rsid w:val="005E0D82"/>
  </w:style>
  <w:style w:type="character" w:customStyle="1" w:styleId="CommentSubjectChar">
    <w:name w:val="Comment Subject Char"/>
    <w:basedOn w:val="CommentTextChar"/>
    <w:link w:val="CommentSubject"/>
    <w:uiPriority w:val="99"/>
    <w:semiHidden/>
    <w:rsid w:val="005E0D82"/>
    <w:rPr>
      <w:b/>
      <w:bCs/>
    </w:rPr>
  </w:style>
  <w:style w:type="paragraph" w:customStyle="1" w:styleId="tabletitle">
    <w:name w:val="table_title"/>
    <w:basedOn w:val="Normal"/>
    <w:uiPriority w:val="99"/>
    <w:rsid w:val="005E0D82"/>
    <w:pPr>
      <w:spacing w:before="100" w:beforeAutospacing="1" w:after="100" w:afterAutospacing="1"/>
    </w:pPr>
    <w:rPr>
      <w:sz w:val="24"/>
      <w:szCs w:val="24"/>
    </w:rPr>
  </w:style>
  <w:style w:type="character" w:styleId="Strong">
    <w:name w:val="Strong"/>
    <w:basedOn w:val="DefaultParagraphFont"/>
    <w:uiPriority w:val="99"/>
    <w:qFormat/>
    <w:rsid w:val="005E0D82"/>
    <w:rPr>
      <w:b/>
      <w:bCs/>
    </w:rPr>
  </w:style>
  <w:style w:type="paragraph" w:customStyle="1" w:styleId="tablenote">
    <w:name w:val="table_note"/>
    <w:basedOn w:val="Normal"/>
    <w:uiPriority w:val="99"/>
    <w:rsid w:val="005E0D82"/>
    <w:pPr>
      <w:spacing w:before="100" w:beforeAutospacing="1" w:after="100" w:afterAutospacing="1"/>
    </w:pPr>
    <w:rPr>
      <w:sz w:val="24"/>
      <w:szCs w:val="24"/>
    </w:rPr>
  </w:style>
  <w:style w:type="character" w:styleId="Emphasis">
    <w:name w:val="Emphasis"/>
    <w:basedOn w:val="DefaultParagraphFont"/>
    <w:uiPriority w:val="20"/>
    <w:qFormat/>
    <w:rsid w:val="005E0D82"/>
    <w:rPr>
      <w:b/>
      <w:bCs/>
      <w:i w:val="0"/>
      <w:iCs w:val="0"/>
    </w:rPr>
  </w:style>
  <w:style w:type="paragraph" w:customStyle="1" w:styleId="CM16">
    <w:name w:val="CM16"/>
    <w:basedOn w:val="Default"/>
    <w:next w:val="Default"/>
    <w:uiPriority w:val="99"/>
    <w:rsid w:val="005E0D82"/>
    <w:rPr>
      <w:rFonts w:eastAsia="Calibri"/>
      <w:color w:val="auto"/>
    </w:rPr>
  </w:style>
  <w:style w:type="paragraph" w:customStyle="1" w:styleId="CM4">
    <w:name w:val="CM4"/>
    <w:basedOn w:val="Default"/>
    <w:next w:val="Default"/>
    <w:uiPriority w:val="99"/>
    <w:rsid w:val="005E0D82"/>
    <w:pPr>
      <w:spacing w:line="260" w:lineRule="atLeast"/>
    </w:pPr>
    <w:rPr>
      <w:rFonts w:eastAsia="Calibri"/>
      <w:color w:val="auto"/>
    </w:rPr>
  </w:style>
  <w:style w:type="paragraph" w:customStyle="1" w:styleId="Style10">
    <w:name w:val="Style 1"/>
    <w:rsid w:val="00D71A23"/>
    <w:pPr>
      <w:widowControl w:val="0"/>
      <w:autoSpaceDE w:val="0"/>
      <w:autoSpaceDN w:val="0"/>
      <w:adjustRightInd w:val="0"/>
    </w:pPr>
  </w:style>
  <w:style w:type="character" w:styleId="PlaceholderText">
    <w:name w:val="Placeholder Text"/>
    <w:basedOn w:val="DefaultParagraphFont"/>
    <w:uiPriority w:val="99"/>
    <w:semiHidden/>
    <w:rsid w:val="00CC06F1"/>
    <w:rPr>
      <w:color w:val="808080"/>
    </w:rPr>
  </w:style>
  <w:style w:type="paragraph" w:styleId="Revision">
    <w:name w:val="Revision"/>
    <w:hidden/>
    <w:uiPriority w:val="99"/>
    <w:semiHidden/>
    <w:rsid w:val="00AA1488"/>
    <w:rPr>
      <w:sz w:val="22"/>
    </w:rPr>
  </w:style>
</w:styles>
</file>

<file path=word/webSettings.xml><?xml version="1.0" encoding="utf-8"?>
<w:webSettings xmlns:r="http://schemas.openxmlformats.org/officeDocument/2006/relationships" xmlns:w="http://schemas.openxmlformats.org/wordprocessingml/2006/main">
  <w:divs>
    <w:div w:id="111942791">
      <w:bodyDiv w:val="1"/>
      <w:marLeft w:val="0"/>
      <w:marRight w:val="0"/>
      <w:marTop w:val="0"/>
      <w:marBottom w:val="0"/>
      <w:divBdr>
        <w:top w:val="none" w:sz="0" w:space="0" w:color="auto"/>
        <w:left w:val="none" w:sz="0" w:space="0" w:color="auto"/>
        <w:bottom w:val="none" w:sz="0" w:space="0" w:color="auto"/>
        <w:right w:val="none" w:sz="0" w:space="0" w:color="auto"/>
      </w:divBdr>
      <w:divsChild>
        <w:div w:id="761880773">
          <w:marLeft w:val="0"/>
          <w:marRight w:val="0"/>
          <w:marTop w:val="0"/>
          <w:marBottom w:val="0"/>
          <w:divBdr>
            <w:top w:val="none" w:sz="0" w:space="0" w:color="auto"/>
            <w:left w:val="none" w:sz="0" w:space="0" w:color="auto"/>
            <w:bottom w:val="none" w:sz="0" w:space="0" w:color="auto"/>
            <w:right w:val="none" w:sz="0" w:space="0" w:color="auto"/>
          </w:divBdr>
        </w:div>
      </w:divsChild>
    </w:div>
    <w:div w:id="311913162">
      <w:bodyDiv w:val="1"/>
      <w:marLeft w:val="0"/>
      <w:marRight w:val="0"/>
      <w:marTop w:val="0"/>
      <w:marBottom w:val="0"/>
      <w:divBdr>
        <w:top w:val="none" w:sz="0" w:space="0" w:color="auto"/>
        <w:left w:val="none" w:sz="0" w:space="0" w:color="auto"/>
        <w:bottom w:val="none" w:sz="0" w:space="0" w:color="auto"/>
        <w:right w:val="none" w:sz="0" w:space="0" w:color="auto"/>
      </w:divBdr>
      <w:divsChild>
        <w:div w:id="1867255276">
          <w:marLeft w:val="0"/>
          <w:marRight w:val="0"/>
          <w:marTop w:val="0"/>
          <w:marBottom w:val="0"/>
          <w:divBdr>
            <w:top w:val="none" w:sz="0" w:space="0" w:color="auto"/>
            <w:left w:val="none" w:sz="0" w:space="0" w:color="auto"/>
            <w:bottom w:val="none" w:sz="0" w:space="0" w:color="auto"/>
            <w:right w:val="none" w:sz="0" w:space="0" w:color="auto"/>
          </w:divBdr>
          <w:divsChild>
            <w:div w:id="1770926346">
              <w:marLeft w:val="0"/>
              <w:marRight w:val="0"/>
              <w:marTop w:val="0"/>
              <w:marBottom w:val="0"/>
              <w:divBdr>
                <w:top w:val="none" w:sz="0" w:space="0" w:color="auto"/>
                <w:left w:val="none" w:sz="0" w:space="0" w:color="auto"/>
                <w:bottom w:val="none" w:sz="0" w:space="0" w:color="auto"/>
                <w:right w:val="none" w:sz="0" w:space="0" w:color="auto"/>
              </w:divBdr>
              <w:divsChild>
                <w:div w:id="136421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30704">
      <w:bodyDiv w:val="1"/>
      <w:marLeft w:val="0"/>
      <w:marRight w:val="0"/>
      <w:marTop w:val="0"/>
      <w:marBottom w:val="0"/>
      <w:divBdr>
        <w:top w:val="none" w:sz="0" w:space="0" w:color="auto"/>
        <w:left w:val="none" w:sz="0" w:space="0" w:color="auto"/>
        <w:bottom w:val="none" w:sz="0" w:space="0" w:color="auto"/>
        <w:right w:val="none" w:sz="0" w:space="0" w:color="auto"/>
      </w:divBdr>
      <w:divsChild>
        <w:div w:id="2025403963">
          <w:marLeft w:val="0"/>
          <w:marRight w:val="0"/>
          <w:marTop w:val="0"/>
          <w:marBottom w:val="0"/>
          <w:divBdr>
            <w:top w:val="none" w:sz="0" w:space="0" w:color="auto"/>
            <w:left w:val="none" w:sz="0" w:space="0" w:color="auto"/>
            <w:bottom w:val="none" w:sz="0" w:space="0" w:color="auto"/>
            <w:right w:val="none" w:sz="0" w:space="0" w:color="auto"/>
          </w:divBdr>
          <w:divsChild>
            <w:div w:id="1102913154">
              <w:marLeft w:val="0"/>
              <w:marRight w:val="0"/>
              <w:marTop w:val="0"/>
              <w:marBottom w:val="0"/>
              <w:divBdr>
                <w:top w:val="none" w:sz="0" w:space="0" w:color="auto"/>
                <w:left w:val="none" w:sz="0" w:space="0" w:color="auto"/>
                <w:bottom w:val="none" w:sz="0" w:space="0" w:color="auto"/>
                <w:right w:val="none" w:sz="0" w:space="0" w:color="auto"/>
              </w:divBdr>
              <w:divsChild>
                <w:div w:id="192869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254624">
      <w:bodyDiv w:val="1"/>
      <w:marLeft w:val="0"/>
      <w:marRight w:val="0"/>
      <w:marTop w:val="0"/>
      <w:marBottom w:val="0"/>
      <w:divBdr>
        <w:top w:val="none" w:sz="0" w:space="0" w:color="auto"/>
        <w:left w:val="none" w:sz="0" w:space="0" w:color="auto"/>
        <w:bottom w:val="none" w:sz="0" w:space="0" w:color="auto"/>
        <w:right w:val="none" w:sz="0" w:space="0" w:color="auto"/>
      </w:divBdr>
    </w:div>
    <w:div w:id="649018268">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707292794">
      <w:bodyDiv w:val="1"/>
      <w:marLeft w:val="0"/>
      <w:marRight w:val="0"/>
      <w:marTop w:val="0"/>
      <w:marBottom w:val="0"/>
      <w:divBdr>
        <w:top w:val="none" w:sz="0" w:space="0" w:color="auto"/>
        <w:left w:val="none" w:sz="0" w:space="0" w:color="auto"/>
        <w:bottom w:val="none" w:sz="0" w:space="0" w:color="auto"/>
        <w:right w:val="none" w:sz="0" w:space="0" w:color="auto"/>
      </w:divBdr>
    </w:div>
    <w:div w:id="745302364">
      <w:bodyDiv w:val="1"/>
      <w:marLeft w:val="0"/>
      <w:marRight w:val="0"/>
      <w:marTop w:val="0"/>
      <w:marBottom w:val="0"/>
      <w:divBdr>
        <w:top w:val="none" w:sz="0" w:space="0" w:color="auto"/>
        <w:left w:val="none" w:sz="0" w:space="0" w:color="auto"/>
        <w:bottom w:val="none" w:sz="0" w:space="0" w:color="auto"/>
        <w:right w:val="none" w:sz="0" w:space="0" w:color="auto"/>
      </w:divBdr>
    </w:div>
    <w:div w:id="761027999">
      <w:bodyDiv w:val="1"/>
      <w:marLeft w:val="0"/>
      <w:marRight w:val="0"/>
      <w:marTop w:val="0"/>
      <w:marBottom w:val="0"/>
      <w:divBdr>
        <w:top w:val="none" w:sz="0" w:space="0" w:color="auto"/>
        <w:left w:val="none" w:sz="0" w:space="0" w:color="auto"/>
        <w:bottom w:val="none" w:sz="0" w:space="0" w:color="auto"/>
        <w:right w:val="none" w:sz="0" w:space="0" w:color="auto"/>
      </w:divBdr>
    </w:div>
    <w:div w:id="776217010">
      <w:bodyDiv w:val="1"/>
      <w:marLeft w:val="0"/>
      <w:marRight w:val="0"/>
      <w:marTop w:val="0"/>
      <w:marBottom w:val="0"/>
      <w:divBdr>
        <w:top w:val="none" w:sz="0" w:space="0" w:color="auto"/>
        <w:left w:val="none" w:sz="0" w:space="0" w:color="auto"/>
        <w:bottom w:val="none" w:sz="0" w:space="0" w:color="auto"/>
        <w:right w:val="none" w:sz="0" w:space="0" w:color="auto"/>
      </w:divBdr>
      <w:divsChild>
        <w:div w:id="1378823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1382286">
      <w:bodyDiv w:val="1"/>
      <w:marLeft w:val="0"/>
      <w:marRight w:val="0"/>
      <w:marTop w:val="0"/>
      <w:marBottom w:val="0"/>
      <w:divBdr>
        <w:top w:val="none" w:sz="0" w:space="0" w:color="auto"/>
        <w:left w:val="none" w:sz="0" w:space="0" w:color="auto"/>
        <w:bottom w:val="none" w:sz="0" w:space="0" w:color="auto"/>
        <w:right w:val="none" w:sz="0" w:space="0" w:color="auto"/>
      </w:divBdr>
    </w:div>
    <w:div w:id="876235165">
      <w:bodyDiv w:val="1"/>
      <w:marLeft w:val="0"/>
      <w:marRight w:val="0"/>
      <w:marTop w:val="0"/>
      <w:marBottom w:val="0"/>
      <w:divBdr>
        <w:top w:val="none" w:sz="0" w:space="0" w:color="auto"/>
        <w:left w:val="none" w:sz="0" w:space="0" w:color="auto"/>
        <w:bottom w:val="none" w:sz="0" w:space="0" w:color="auto"/>
        <w:right w:val="none" w:sz="0" w:space="0" w:color="auto"/>
      </w:divBdr>
    </w:div>
    <w:div w:id="1003049522">
      <w:bodyDiv w:val="1"/>
      <w:marLeft w:val="0"/>
      <w:marRight w:val="0"/>
      <w:marTop w:val="0"/>
      <w:marBottom w:val="0"/>
      <w:divBdr>
        <w:top w:val="none" w:sz="0" w:space="0" w:color="auto"/>
        <w:left w:val="none" w:sz="0" w:space="0" w:color="auto"/>
        <w:bottom w:val="none" w:sz="0" w:space="0" w:color="auto"/>
        <w:right w:val="none" w:sz="0" w:space="0" w:color="auto"/>
      </w:divBdr>
      <w:divsChild>
        <w:div w:id="1130052457">
          <w:marLeft w:val="0"/>
          <w:marRight w:val="0"/>
          <w:marTop w:val="0"/>
          <w:marBottom w:val="0"/>
          <w:divBdr>
            <w:top w:val="none" w:sz="0" w:space="0" w:color="auto"/>
            <w:left w:val="none" w:sz="0" w:space="0" w:color="auto"/>
            <w:bottom w:val="none" w:sz="0" w:space="0" w:color="auto"/>
            <w:right w:val="none" w:sz="0" w:space="0" w:color="auto"/>
          </w:divBdr>
          <w:divsChild>
            <w:div w:id="1143280690">
              <w:marLeft w:val="0"/>
              <w:marRight w:val="0"/>
              <w:marTop w:val="0"/>
              <w:marBottom w:val="0"/>
              <w:divBdr>
                <w:top w:val="none" w:sz="0" w:space="0" w:color="auto"/>
                <w:left w:val="none" w:sz="0" w:space="0" w:color="auto"/>
                <w:bottom w:val="none" w:sz="0" w:space="0" w:color="auto"/>
                <w:right w:val="none" w:sz="0" w:space="0" w:color="auto"/>
              </w:divBdr>
              <w:divsChild>
                <w:div w:id="118882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692693">
      <w:bodyDiv w:val="1"/>
      <w:marLeft w:val="0"/>
      <w:marRight w:val="0"/>
      <w:marTop w:val="0"/>
      <w:marBottom w:val="0"/>
      <w:divBdr>
        <w:top w:val="none" w:sz="0" w:space="0" w:color="auto"/>
        <w:left w:val="none" w:sz="0" w:space="0" w:color="auto"/>
        <w:bottom w:val="none" w:sz="0" w:space="0" w:color="auto"/>
        <w:right w:val="none" w:sz="0" w:space="0" w:color="auto"/>
      </w:divBdr>
      <w:divsChild>
        <w:div w:id="1017535553">
          <w:marLeft w:val="74"/>
          <w:marRight w:val="46"/>
          <w:marTop w:val="0"/>
          <w:marBottom w:val="0"/>
          <w:divBdr>
            <w:top w:val="none" w:sz="0" w:space="0" w:color="auto"/>
            <w:left w:val="none" w:sz="0" w:space="0" w:color="auto"/>
            <w:bottom w:val="none" w:sz="0" w:space="0" w:color="auto"/>
            <w:right w:val="none" w:sz="0" w:space="0" w:color="auto"/>
          </w:divBdr>
          <w:divsChild>
            <w:div w:id="1925214184">
              <w:marLeft w:val="0"/>
              <w:marRight w:val="0"/>
              <w:marTop w:val="0"/>
              <w:marBottom w:val="0"/>
              <w:divBdr>
                <w:top w:val="none" w:sz="0" w:space="0" w:color="auto"/>
                <w:left w:val="none" w:sz="0" w:space="0" w:color="auto"/>
                <w:bottom w:val="none" w:sz="0" w:space="0" w:color="auto"/>
                <w:right w:val="none" w:sz="0" w:space="0" w:color="auto"/>
              </w:divBdr>
              <w:divsChild>
                <w:div w:id="32586312">
                  <w:marLeft w:val="0"/>
                  <w:marRight w:val="0"/>
                  <w:marTop w:val="0"/>
                  <w:marBottom w:val="0"/>
                  <w:divBdr>
                    <w:top w:val="none" w:sz="0" w:space="0" w:color="auto"/>
                    <w:left w:val="none" w:sz="0" w:space="0" w:color="auto"/>
                    <w:bottom w:val="none" w:sz="0" w:space="0" w:color="auto"/>
                    <w:right w:val="none" w:sz="0" w:space="0" w:color="auto"/>
                  </w:divBdr>
                  <w:divsChild>
                    <w:div w:id="777214242">
                      <w:marLeft w:val="0"/>
                      <w:marRight w:val="0"/>
                      <w:marTop w:val="0"/>
                      <w:marBottom w:val="0"/>
                      <w:divBdr>
                        <w:top w:val="none" w:sz="0" w:space="0" w:color="auto"/>
                        <w:left w:val="none" w:sz="0" w:space="0" w:color="auto"/>
                        <w:bottom w:val="none" w:sz="0" w:space="0" w:color="auto"/>
                        <w:right w:val="none" w:sz="0" w:space="0" w:color="auto"/>
                      </w:divBdr>
                      <w:divsChild>
                        <w:div w:id="669790196">
                          <w:marLeft w:val="0"/>
                          <w:marRight w:val="0"/>
                          <w:marTop w:val="0"/>
                          <w:marBottom w:val="0"/>
                          <w:divBdr>
                            <w:top w:val="single" w:sz="4" w:space="2" w:color="999999"/>
                            <w:left w:val="single" w:sz="4" w:space="2" w:color="999999"/>
                            <w:bottom w:val="single" w:sz="4" w:space="2" w:color="999999"/>
                            <w:right w:val="single" w:sz="4" w:space="2" w:color="999999"/>
                          </w:divBdr>
                          <w:divsChild>
                            <w:div w:id="1004630478">
                              <w:marLeft w:val="0"/>
                              <w:marRight w:val="0"/>
                              <w:marTop w:val="0"/>
                              <w:marBottom w:val="0"/>
                              <w:divBdr>
                                <w:top w:val="none" w:sz="0" w:space="0" w:color="auto"/>
                                <w:left w:val="none" w:sz="0" w:space="0" w:color="auto"/>
                                <w:bottom w:val="none" w:sz="0" w:space="0" w:color="auto"/>
                                <w:right w:val="none" w:sz="0" w:space="0" w:color="auto"/>
                              </w:divBdr>
                              <w:divsChild>
                                <w:div w:id="1950238173">
                                  <w:marLeft w:val="0"/>
                                  <w:marRight w:val="3252"/>
                                  <w:marTop w:val="0"/>
                                  <w:marBottom w:val="0"/>
                                  <w:divBdr>
                                    <w:top w:val="none" w:sz="0" w:space="0" w:color="auto"/>
                                    <w:left w:val="none" w:sz="0" w:space="0" w:color="auto"/>
                                    <w:bottom w:val="none" w:sz="0" w:space="0" w:color="auto"/>
                                    <w:right w:val="none" w:sz="0" w:space="0" w:color="auto"/>
                                  </w:divBdr>
                                  <w:divsChild>
                                    <w:div w:id="147876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935648">
      <w:bodyDiv w:val="1"/>
      <w:marLeft w:val="0"/>
      <w:marRight w:val="0"/>
      <w:marTop w:val="0"/>
      <w:marBottom w:val="0"/>
      <w:divBdr>
        <w:top w:val="none" w:sz="0" w:space="0" w:color="auto"/>
        <w:left w:val="none" w:sz="0" w:space="0" w:color="auto"/>
        <w:bottom w:val="none" w:sz="0" w:space="0" w:color="auto"/>
        <w:right w:val="none" w:sz="0" w:space="0" w:color="auto"/>
      </w:divBdr>
      <w:divsChild>
        <w:div w:id="101606572">
          <w:marLeft w:val="0"/>
          <w:marRight w:val="0"/>
          <w:marTop w:val="0"/>
          <w:marBottom w:val="0"/>
          <w:divBdr>
            <w:top w:val="none" w:sz="0" w:space="0" w:color="auto"/>
            <w:left w:val="none" w:sz="0" w:space="0" w:color="auto"/>
            <w:bottom w:val="none" w:sz="0" w:space="0" w:color="auto"/>
            <w:right w:val="none" w:sz="0" w:space="0" w:color="auto"/>
          </w:divBdr>
        </w:div>
      </w:divsChild>
    </w:div>
    <w:div w:id="1065956015">
      <w:bodyDiv w:val="1"/>
      <w:marLeft w:val="0"/>
      <w:marRight w:val="0"/>
      <w:marTop w:val="0"/>
      <w:marBottom w:val="0"/>
      <w:divBdr>
        <w:top w:val="none" w:sz="0" w:space="0" w:color="auto"/>
        <w:left w:val="none" w:sz="0" w:space="0" w:color="auto"/>
        <w:bottom w:val="none" w:sz="0" w:space="0" w:color="auto"/>
        <w:right w:val="none" w:sz="0" w:space="0" w:color="auto"/>
      </w:divBdr>
      <w:divsChild>
        <w:div w:id="1721400183">
          <w:marLeft w:val="74"/>
          <w:marRight w:val="46"/>
          <w:marTop w:val="0"/>
          <w:marBottom w:val="0"/>
          <w:divBdr>
            <w:top w:val="none" w:sz="0" w:space="0" w:color="auto"/>
            <w:left w:val="none" w:sz="0" w:space="0" w:color="auto"/>
            <w:bottom w:val="none" w:sz="0" w:space="0" w:color="auto"/>
            <w:right w:val="none" w:sz="0" w:space="0" w:color="auto"/>
          </w:divBdr>
          <w:divsChild>
            <w:div w:id="1938050950">
              <w:marLeft w:val="0"/>
              <w:marRight w:val="0"/>
              <w:marTop w:val="0"/>
              <w:marBottom w:val="0"/>
              <w:divBdr>
                <w:top w:val="none" w:sz="0" w:space="0" w:color="auto"/>
                <w:left w:val="none" w:sz="0" w:space="0" w:color="auto"/>
                <w:bottom w:val="none" w:sz="0" w:space="0" w:color="auto"/>
                <w:right w:val="none" w:sz="0" w:space="0" w:color="auto"/>
              </w:divBdr>
              <w:divsChild>
                <w:div w:id="1116558011">
                  <w:marLeft w:val="0"/>
                  <w:marRight w:val="0"/>
                  <w:marTop w:val="0"/>
                  <w:marBottom w:val="0"/>
                  <w:divBdr>
                    <w:top w:val="none" w:sz="0" w:space="0" w:color="auto"/>
                    <w:left w:val="none" w:sz="0" w:space="0" w:color="auto"/>
                    <w:bottom w:val="none" w:sz="0" w:space="0" w:color="auto"/>
                    <w:right w:val="none" w:sz="0" w:space="0" w:color="auto"/>
                  </w:divBdr>
                  <w:divsChild>
                    <w:div w:id="307366931">
                      <w:marLeft w:val="0"/>
                      <w:marRight w:val="0"/>
                      <w:marTop w:val="0"/>
                      <w:marBottom w:val="0"/>
                      <w:divBdr>
                        <w:top w:val="none" w:sz="0" w:space="0" w:color="auto"/>
                        <w:left w:val="none" w:sz="0" w:space="0" w:color="auto"/>
                        <w:bottom w:val="none" w:sz="0" w:space="0" w:color="auto"/>
                        <w:right w:val="none" w:sz="0" w:space="0" w:color="auto"/>
                      </w:divBdr>
                      <w:divsChild>
                        <w:div w:id="164252908">
                          <w:marLeft w:val="0"/>
                          <w:marRight w:val="0"/>
                          <w:marTop w:val="0"/>
                          <w:marBottom w:val="0"/>
                          <w:divBdr>
                            <w:top w:val="single" w:sz="4" w:space="2" w:color="999999"/>
                            <w:left w:val="single" w:sz="4" w:space="2" w:color="999999"/>
                            <w:bottom w:val="single" w:sz="4" w:space="2" w:color="999999"/>
                            <w:right w:val="single" w:sz="4" w:space="2" w:color="999999"/>
                          </w:divBdr>
                          <w:divsChild>
                            <w:div w:id="667362687">
                              <w:marLeft w:val="0"/>
                              <w:marRight w:val="0"/>
                              <w:marTop w:val="0"/>
                              <w:marBottom w:val="0"/>
                              <w:divBdr>
                                <w:top w:val="none" w:sz="0" w:space="0" w:color="auto"/>
                                <w:left w:val="none" w:sz="0" w:space="0" w:color="auto"/>
                                <w:bottom w:val="none" w:sz="0" w:space="0" w:color="auto"/>
                                <w:right w:val="none" w:sz="0" w:space="0" w:color="auto"/>
                              </w:divBdr>
                              <w:divsChild>
                                <w:div w:id="1583684047">
                                  <w:marLeft w:val="0"/>
                                  <w:marRight w:val="3252"/>
                                  <w:marTop w:val="0"/>
                                  <w:marBottom w:val="0"/>
                                  <w:divBdr>
                                    <w:top w:val="none" w:sz="0" w:space="0" w:color="auto"/>
                                    <w:left w:val="none" w:sz="0" w:space="0" w:color="auto"/>
                                    <w:bottom w:val="none" w:sz="0" w:space="0" w:color="auto"/>
                                    <w:right w:val="none" w:sz="0" w:space="0" w:color="auto"/>
                                  </w:divBdr>
                                  <w:divsChild>
                                    <w:div w:id="96936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2182773">
      <w:bodyDiv w:val="1"/>
      <w:marLeft w:val="0"/>
      <w:marRight w:val="0"/>
      <w:marTop w:val="0"/>
      <w:marBottom w:val="0"/>
      <w:divBdr>
        <w:top w:val="none" w:sz="0" w:space="0" w:color="auto"/>
        <w:left w:val="none" w:sz="0" w:space="0" w:color="auto"/>
        <w:bottom w:val="none" w:sz="0" w:space="0" w:color="auto"/>
        <w:right w:val="none" w:sz="0" w:space="0" w:color="auto"/>
      </w:divBdr>
    </w:div>
    <w:div w:id="1359231765">
      <w:bodyDiv w:val="1"/>
      <w:marLeft w:val="0"/>
      <w:marRight w:val="0"/>
      <w:marTop w:val="0"/>
      <w:marBottom w:val="0"/>
      <w:divBdr>
        <w:top w:val="none" w:sz="0" w:space="0" w:color="auto"/>
        <w:left w:val="none" w:sz="0" w:space="0" w:color="auto"/>
        <w:bottom w:val="none" w:sz="0" w:space="0" w:color="auto"/>
        <w:right w:val="none" w:sz="0" w:space="0" w:color="auto"/>
      </w:divBdr>
      <w:divsChild>
        <w:div w:id="1672219097">
          <w:marLeft w:val="0"/>
          <w:marRight w:val="0"/>
          <w:marTop w:val="0"/>
          <w:marBottom w:val="0"/>
          <w:divBdr>
            <w:top w:val="none" w:sz="0" w:space="0" w:color="auto"/>
            <w:left w:val="none" w:sz="0" w:space="0" w:color="auto"/>
            <w:bottom w:val="none" w:sz="0" w:space="0" w:color="auto"/>
            <w:right w:val="none" w:sz="0" w:space="0" w:color="auto"/>
          </w:divBdr>
          <w:divsChild>
            <w:div w:id="700714468">
              <w:marLeft w:val="0"/>
              <w:marRight w:val="0"/>
              <w:marTop w:val="0"/>
              <w:marBottom w:val="0"/>
              <w:divBdr>
                <w:top w:val="none" w:sz="0" w:space="0" w:color="auto"/>
                <w:left w:val="none" w:sz="0" w:space="0" w:color="auto"/>
                <w:bottom w:val="none" w:sz="0" w:space="0" w:color="auto"/>
                <w:right w:val="none" w:sz="0" w:space="0" w:color="auto"/>
              </w:divBdr>
            </w:div>
            <w:div w:id="868028852">
              <w:marLeft w:val="0"/>
              <w:marRight w:val="0"/>
              <w:marTop w:val="0"/>
              <w:marBottom w:val="0"/>
              <w:divBdr>
                <w:top w:val="none" w:sz="0" w:space="0" w:color="auto"/>
                <w:left w:val="none" w:sz="0" w:space="0" w:color="auto"/>
                <w:bottom w:val="none" w:sz="0" w:space="0" w:color="auto"/>
                <w:right w:val="none" w:sz="0" w:space="0" w:color="auto"/>
              </w:divBdr>
            </w:div>
            <w:div w:id="198207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169581">
      <w:bodyDiv w:val="1"/>
      <w:marLeft w:val="0"/>
      <w:marRight w:val="0"/>
      <w:marTop w:val="0"/>
      <w:marBottom w:val="0"/>
      <w:divBdr>
        <w:top w:val="none" w:sz="0" w:space="0" w:color="auto"/>
        <w:left w:val="none" w:sz="0" w:space="0" w:color="auto"/>
        <w:bottom w:val="none" w:sz="0" w:space="0" w:color="auto"/>
        <w:right w:val="none" w:sz="0" w:space="0" w:color="auto"/>
      </w:divBdr>
      <w:divsChild>
        <w:div w:id="1692485542">
          <w:marLeft w:val="0"/>
          <w:marRight w:val="0"/>
          <w:marTop w:val="0"/>
          <w:marBottom w:val="0"/>
          <w:divBdr>
            <w:top w:val="none" w:sz="0" w:space="0" w:color="auto"/>
            <w:left w:val="none" w:sz="0" w:space="0" w:color="auto"/>
            <w:bottom w:val="none" w:sz="0" w:space="0" w:color="auto"/>
            <w:right w:val="none" w:sz="0" w:space="0" w:color="auto"/>
          </w:divBdr>
          <w:divsChild>
            <w:div w:id="1303195570">
              <w:marLeft w:val="0"/>
              <w:marRight w:val="0"/>
              <w:marTop w:val="0"/>
              <w:marBottom w:val="0"/>
              <w:divBdr>
                <w:top w:val="none" w:sz="0" w:space="0" w:color="auto"/>
                <w:left w:val="none" w:sz="0" w:space="0" w:color="auto"/>
                <w:bottom w:val="none" w:sz="0" w:space="0" w:color="auto"/>
                <w:right w:val="none" w:sz="0" w:space="0" w:color="auto"/>
              </w:divBdr>
              <w:divsChild>
                <w:div w:id="83329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169854">
      <w:bodyDiv w:val="1"/>
      <w:marLeft w:val="0"/>
      <w:marRight w:val="0"/>
      <w:marTop w:val="0"/>
      <w:marBottom w:val="0"/>
      <w:divBdr>
        <w:top w:val="none" w:sz="0" w:space="0" w:color="auto"/>
        <w:left w:val="none" w:sz="0" w:space="0" w:color="auto"/>
        <w:bottom w:val="none" w:sz="0" w:space="0" w:color="auto"/>
        <w:right w:val="none" w:sz="0" w:space="0" w:color="auto"/>
      </w:divBdr>
      <w:divsChild>
        <w:div w:id="1186482447">
          <w:marLeft w:val="0"/>
          <w:marRight w:val="0"/>
          <w:marTop w:val="0"/>
          <w:marBottom w:val="0"/>
          <w:divBdr>
            <w:top w:val="none" w:sz="0" w:space="0" w:color="auto"/>
            <w:left w:val="none" w:sz="0" w:space="0" w:color="auto"/>
            <w:bottom w:val="none" w:sz="0" w:space="0" w:color="auto"/>
            <w:right w:val="none" w:sz="0" w:space="0" w:color="auto"/>
          </w:divBdr>
        </w:div>
      </w:divsChild>
    </w:div>
    <w:div w:id="1496919913">
      <w:bodyDiv w:val="1"/>
      <w:marLeft w:val="0"/>
      <w:marRight w:val="0"/>
      <w:marTop w:val="0"/>
      <w:marBottom w:val="0"/>
      <w:divBdr>
        <w:top w:val="none" w:sz="0" w:space="0" w:color="auto"/>
        <w:left w:val="none" w:sz="0" w:space="0" w:color="auto"/>
        <w:bottom w:val="none" w:sz="0" w:space="0" w:color="auto"/>
        <w:right w:val="none" w:sz="0" w:space="0" w:color="auto"/>
      </w:divBdr>
      <w:divsChild>
        <w:div w:id="1695305833">
          <w:marLeft w:val="0"/>
          <w:marRight w:val="0"/>
          <w:marTop w:val="0"/>
          <w:marBottom w:val="0"/>
          <w:divBdr>
            <w:top w:val="none" w:sz="0" w:space="0" w:color="auto"/>
            <w:left w:val="none" w:sz="0" w:space="0" w:color="auto"/>
            <w:bottom w:val="none" w:sz="0" w:space="0" w:color="auto"/>
            <w:right w:val="none" w:sz="0" w:space="0" w:color="auto"/>
          </w:divBdr>
          <w:divsChild>
            <w:div w:id="34736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84811">
      <w:bodyDiv w:val="1"/>
      <w:marLeft w:val="0"/>
      <w:marRight w:val="0"/>
      <w:marTop w:val="0"/>
      <w:marBottom w:val="0"/>
      <w:divBdr>
        <w:top w:val="none" w:sz="0" w:space="0" w:color="auto"/>
        <w:left w:val="none" w:sz="0" w:space="0" w:color="auto"/>
        <w:bottom w:val="none" w:sz="0" w:space="0" w:color="auto"/>
        <w:right w:val="none" w:sz="0" w:space="0" w:color="auto"/>
      </w:divBdr>
      <w:divsChild>
        <w:div w:id="939799221">
          <w:marLeft w:val="0"/>
          <w:marRight w:val="0"/>
          <w:marTop w:val="0"/>
          <w:marBottom w:val="0"/>
          <w:divBdr>
            <w:top w:val="none" w:sz="0" w:space="0" w:color="auto"/>
            <w:left w:val="none" w:sz="0" w:space="0" w:color="auto"/>
            <w:bottom w:val="none" w:sz="0" w:space="0" w:color="auto"/>
            <w:right w:val="none" w:sz="0" w:space="0" w:color="auto"/>
          </w:divBdr>
          <w:divsChild>
            <w:div w:id="446779412">
              <w:marLeft w:val="0"/>
              <w:marRight w:val="0"/>
              <w:marTop w:val="0"/>
              <w:marBottom w:val="0"/>
              <w:divBdr>
                <w:top w:val="none" w:sz="0" w:space="0" w:color="auto"/>
                <w:left w:val="none" w:sz="0" w:space="0" w:color="auto"/>
                <w:bottom w:val="none" w:sz="0" w:space="0" w:color="auto"/>
                <w:right w:val="none" w:sz="0" w:space="0" w:color="auto"/>
              </w:divBdr>
              <w:divsChild>
                <w:div w:id="81449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689642">
      <w:bodyDiv w:val="1"/>
      <w:marLeft w:val="0"/>
      <w:marRight w:val="0"/>
      <w:marTop w:val="0"/>
      <w:marBottom w:val="0"/>
      <w:divBdr>
        <w:top w:val="none" w:sz="0" w:space="0" w:color="auto"/>
        <w:left w:val="none" w:sz="0" w:space="0" w:color="auto"/>
        <w:bottom w:val="none" w:sz="0" w:space="0" w:color="auto"/>
        <w:right w:val="none" w:sz="0" w:space="0" w:color="auto"/>
      </w:divBdr>
      <w:divsChild>
        <w:div w:id="1469742608">
          <w:marLeft w:val="0"/>
          <w:marRight w:val="0"/>
          <w:marTop w:val="0"/>
          <w:marBottom w:val="0"/>
          <w:divBdr>
            <w:top w:val="none" w:sz="0" w:space="0" w:color="auto"/>
            <w:left w:val="none" w:sz="0" w:space="0" w:color="auto"/>
            <w:bottom w:val="none" w:sz="0" w:space="0" w:color="auto"/>
            <w:right w:val="none" w:sz="0" w:space="0" w:color="auto"/>
          </w:divBdr>
          <w:divsChild>
            <w:div w:id="1651251758">
              <w:marLeft w:val="0"/>
              <w:marRight w:val="0"/>
              <w:marTop w:val="0"/>
              <w:marBottom w:val="0"/>
              <w:divBdr>
                <w:top w:val="none" w:sz="0" w:space="0" w:color="auto"/>
                <w:left w:val="none" w:sz="0" w:space="0" w:color="auto"/>
                <w:bottom w:val="none" w:sz="0" w:space="0" w:color="auto"/>
                <w:right w:val="none" w:sz="0" w:space="0" w:color="auto"/>
              </w:divBdr>
              <w:divsChild>
                <w:div w:id="212345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825917">
      <w:bodyDiv w:val="1"/>
      <w:marLeft w:val="0"/>
      <w:marRight w:val="0"/>
      <w:marTop w:val="0"/>
      <w:marBottom w:val="0"/>
      <w:divBdr>
        <w:top w:val="none" w:sz="0" w:space="0" w:color="auto"/>
        <w:left w:val="none" w:sz="0" w:space="0" w:color="auto"/>
        <w:bottom w:val="none" w:sz="0" w:space="0" w:color="auto"/>
        <w:right w:val="none" w:sz="0" w:space="0" w:color="auto"/>
      </w:divBdr>
      <w:divsChild>
        <w:div w:id="425343549">
          <w:marLeft w:val="0"/>
          <w:marRight w:val="0"/>
          <w:marTop w:val="0"/>
          <w:marBottom w:val="0"/>
          <w:divBdr>
            <w:top w:val="none" w:sz="0" w:space="0" w:color="auto"/>
            <w:left w:val="none" w:sz="0" w:space="0" w:color="auto"/>
            <w:bottom w:val="none" w:sz="0" w:space="0" w:color="auto"/>
            <w:right w:val="none" w:sz="0" w:space="0" w:color="auto"/>
          </w:divBdr>
        </w:div>
      </w:divsChild>
    </w:div>
    <w:div w:id="1630012149">
      <w:bodyDiv w:val="1"/>
      <w:marLeft w:val="0"/>
      <w:marRight w:val="0"/>
      <w:marTop w:val="0"/>
      <w:marBottom w:val="0"/>
      <w:divBdr>
        <w:top w:val="none" w:sz="0" w:space="0" w:color="auto"/>
        <w:left w:val="none" w:sz="0" w:space="0" w:color="auto"/>
        <w:bottom w:val="none" w:sz="0" w:space="0" w:color="auto"/>
        <w:right w:val="none" w:sz="0" w:space="0" w:color="auto"/>
      </w:divBdr>
      <w:divsChild>
        <w:div w:id="1975326787">
          <w:marLeft w:val="0"/>
          <w:marRight w:val="0"/>
          <w:marTop w:val="0"/>
          <w:marBottom w:val="0"/>
          <w:divBdr>
            <w:top w:val="none" w:sz="0" w:space="0" w:color="auto"/>
            <w:left w:val="none" w:sz="0" w:space="0" w:color="auto"/>
            <w:bottom w:val="none" w:sz="0" w:space="0" w:color="auto"/>
            <w:right w:val="none" w:sz="0" w:space="0" w:color="auto"/>
          </w:divBdr>
          <w:divsChild>
            <w:div w:id="2001619779">
              <w:marLeft w:val="0"/>
              <w:marRight w:val="0"/>
              <w:marTop w:val="0"/>
              <w:marBottom w:val="0"/>
              <w:divBdr>
                <w:top w:val="none" w:sz="0" w:space="0" w:color="auto"/>
                <w:left w:val="none" w:sz="0" w:space="0" w:color="auto"/>
                <w:bottom w:val="none" w:sz="0" w:space="0" w:color="auto"/>
                <w:right w:val="none" w:sz="0" w:space="0" w:color="auto"/>
              </w:divBdr>
              <w:divsChild>
                <w:div w:id="44816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073245">
      <w:bodyDiv w:val="1"/>
      <w:marLeft w:val="0"/>
      <w:marRight w:val="0"/>
      <w:marTop w:val="0"/>
      <w:marBottom w:val="0"/>
      <w:divBdr>
        <w:top w:val="none" w:sz="0" w:space="0" w:color="auto"/>
        <w:left w:val="none" w:sz="0" w:space="0" w:color="auto"/>
        <w:bottom w:val="none" w:sz="0" w:space="0" w:color="auto"/>
        <w:right w:val="none" w:sz="0" w:space="0" w:color="auto"/>
      </w:divBdr>
    </w:div>
    <w:div w:id="1906600502">
      <w:bodyDiv w:val="1"/>
      <w:marLeft w:val="0"/>
      <w:marRight w:val="0"/>
      <w:marTop w:val="0"/>
      <w:marBottom w:val="0"/>
      <w:divBdr>
        <w:top w:val="none" w:sz="0" w:space="0" w:color="auto"/>
        <w:left w:val="none" w:sz="0" w:space="0" w:color="auto"/>
        <w:bottom w:val="none" w:sz="0" w:space="0" w:color="auto"/>
        <w:right w:val="none" w:sz="0" w:space="0" w:color="auto"/>
      </w:divBdr>
      <w:divsChild>
        <w:div w:id="750128812">
          <w:marLeft w:val="0"/>
          <w:marRight w:val="0"/>
          <w:marTop w:val="0"/>
          <w:marBottom w:val="0"/>
          <w:divBdr>
            <w:top w:val="none" w:sz="0" w:space="0" w:color="auto"/>
            <w:left w:val="none" w:sz="0" w:space="0" w:color="auto"/>
            <w:bottom w:val="none" w:sz="0" w:space="0" w:color="auto"/>
            <w:right w:val="none" w:sz="0" w:space="0" w:color="auto"/>
          </w:divBdr>
          <w:divsChild>
            <w:div w:id="388116915">
              <w:marLeft w:val="0"/>
              <w:marRight w:val="0"/>
              <w:marTop w:val="0"/>
              <w:marBottom w:val="0"/>
              <w:divBdr>
                <w:top w:val="none" w:sz="0" w:space="0" w:color="auto"/>
                <w:left w:val="none" w:sz="0" w:space="0" w:color="auto"/>
                <w:bottom w:val="none" w:sz="0" w:space="0" w:color="auto"/>
                <w:right w:val="none" w:sz="0" w:space="0" w:color="auto"/>
              </w:divBdr>
              <w:divsChild>
                <w:div w:id="205010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04278">
      <w:bodyDiv w:val="1"/>
      <w:marLeft w:val="0"/>
      <w:marRight w:val="0"/>
      <w:marTop w:val="0"/>
      <w:marBottom w:val="0"/>
      <w:divBdr>
        <w:top w:val="none" w:sz="0" w:space="0" w:color="auto"/>
        <w:left w:val="none" w:sz="0" w:space="0" w:color="auto"/>
        <w:bottom w:val="none" w:sz="0" w:space="0" w:color="auto"/>
        <w:right w:val="none" w:sz="0" w:space="0" w:color="auto"/>
      </w:divBdr>
      <w:divsChild>
        <w:div w:id="649482916">
          <w:marLeft w:val="0"/>
          <w:marRight w:val="0"/>
          <w:marTop w:val="0"/>
          <w:marBottom w:val="0"/>
          <w:divBdr>
            <w:top w:val="none" w:sz="0" w:space="0" w:color="auto"/>
            <w:left w:val="none" w:sz="0" w:space="0" w:color="auto"/>
            <w:bottom w:val="none" w:sz="0" w:space="0" w:color="auto"/>
            <w:right w:val="none" w:sz="0" w:space="0" w:color="auto"/>
          </w:divBdr>
        </w:div>
      </w:divsChild>
    </w:div>
    <w:div w:id="2133665396">
      <w:bodyDiv w:val="1"/>
      <w:marLeft w:val="0"/>
      <w:marRight w:val="0"/>
      <w:marTop w:val="0"/>
      <w:marBottom w:val="0"/>
      <w:divBdr>
        <w:top w:val="none" w:sz="0" w:space="0" w:color="auto"/>
        <w:left w:val="none" w:sz="0" w:space="0" w:color="auto"/>
        <w:bottom w:val="none" w:sz="0" w:space="0" w:color="auto"/>
        <w:right w:val="none" w:sz="0" w:space="0" w:color="auto"/>
      </w:divBdr>
      <w:divsChild>
        <w:div w:id="209459362">
          <w:marLeft w:val="0"/>
          <w:marRight w:val="0"/>
          <w:marTop w:val="0"/>
          <w:marBottom w:val="0"/>
          <w:divBdr>
            <w:top w:val="none" w:sz="0" w:space="0" w:color="auto"/>
            <w:left w:val="none" w:sz="0" w:space="0" w:color="auto"/>
            <w:bottom w:val="none" w:sz="0" w:space="0" w:color="auto"/>
            <w:right w:val="none" w:sz="0" w:space="0" w:color="auto"/>
          </w:divBdr>
          <w:divsChild>
            <w:div w:id="1637686838">
              <w:marLeft w:val="0"/>
              <w:marRight w:val="0"/>
              <w:marTop w:val="0"/>
              <w:marBottom w:val="0"/>
              <w:divBdr>
                <w:top w:val="none" w:sz="0" w:space="0" w:color="auto"/>
                <w:left w:val="none" w:sz="0" w:space="0" w:color="auto"/>
                <w:bottom w:val="none" w:sz="0" w:space="0" w:color="auto"/>
                <w:right w:val="none" w:sz="0" w:space="0" w:color="auto"/>
              </w:divBdr>
              <w:divsChild>
                <w:div w:id="73894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ep.state.fl.us/air/rules/fac/62-204.pdf" TargetMode="External"/><Relationship Id="rId18" Type="http://schemas.openxmlformats.org/officeDocument/2006/relationships/hyperlink" Target="http://www.dep.state.fl.us/air/rules/fac/62-296.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dep.state.fl.us/air/rules/fac/62-4.pdf" TargetMode="External"/><Relationship Id="rId17" Type="http://schemas.openxmlformats.org/officeDocument/2006/relationships/hyperlink" Target="http://www.dep.state.fl.us/air/rules/fac/62-214.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ep.state.fl.us/air/rules/fac/62-213.pdf" TargetMode="External"/><Relationship Id="rId20" Type="http://schemas.openxmlformats.org/officeDocument/2006/relationships/hyperlink" Target="mailto:David.Read@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bioenergy/indian_river.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ep.state.fl.us/air/rules/fac/62-212.pdf" TargetMode="External"/><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dep.state.fl.us/air/rules/fac/62-297.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ep.state.fl.us/air/rules/fac/62-210.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E3A8-7D86-492F-9ED4-C29C827D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7856</TotalTime>
  <Pages>9</Pages>
  <Words>4049</Words>
  <Characters>22615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DARM</Company>
  <LinksUpToDate>false</LinksUpToDate>
  <CharactersWithSpaces>26611</CharactersWithSpaces>
  <SharedDoc>false</SharedDoc>
  <HLinks>
    <vt:vector size="24" baseType="variant">
      <vt:variant>
        <vt:i4>3080284</vt:i4>
      </vt:variant>
      <vt:variant>
        <vt:i4>15</vt:i4>
      </vt:variant>
      <vt:variant>
        <vt:i4>0</vt:i4>
      </vt:variant>
      <vt:variant>
        <vt:i4>5</vt:i4>
      </vt:variant>
      <vt:variant>
        <vt:lpwstr>mailto:deborah.nelson@dep.state.fl.us</vt:lpwstr>
      </vt:variant>
      <vt:variant>
        <vt:lpwstr/>
      </vt:variant>
      <vt:variant>
        <vt:i4>3866694</vt:i4>
      </vt:variant>
      <vt:variant>
        <vt:i4>12</vt:i4>
      </vt:variant>
      <vt:variant>
        <vt:i4>0</vt:i4>
      </vt:variant>
      <vt:variant>
        <vt:i4>5</vt:i4>
      </vt:variant>
      <vt:variant>
        <vt:lpwstr>mailto:david.read@dep.state.fl.us</vt:lpwstr>
      </vt:variant>
      <vt:variant>
        <vt:lpwstr/>
      </vt:variant>
      <vt:variant>
        <vt:i4>3670033</vt:i4>
      </vt:variant>
      <vt:variant>
        <vt:i4>6</vt:i4>
      </vt:variant>
      <vt:variant>
        <vt:i4>0</vt:i4>
      </vt:variant>
      <vt:variant>
        <vt:i4>5</vt:i4>
      </vt:variant>
      <vt:variant>
        <vt:lpwstr>http://www.verenium.com/cellulosic-ethanol_process.asp</vt:lpwstr>
      </vt:variant>
      <vt:variant>
        <vt:lpwstr/>
      </vt:variant>
      <vt:variant>
        <vt:i4>6881298</vt:i4>
      </vt:variant>
      <vt:variant>
        <vt:i4>0</vt:i4>
      </vt:variant>
      <vt:variant>
        <vt:i4>0</vt:i4>
      </vt:variant>
      <vt:variant>
        <vt:i4>5</vt:i4>
      </vt:variant>
      <vt:variant>
        <vt:lpwstr>http://upload.wikimedia.org/wikipedia/commons/f/ff/Map_of_Florida_highlighting_Highlands_County.svg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Bayside</dc:subject>
  <dc:creator>Al Linero</dc:creator>
  <cp:keywords/>
  <cp:lastModifiedBy>koerner_j</cp:lastModifiedBy>
  <cp:revision>189</cp:revision>
  <cp:lastPrinted>2011-08-27T21:04:00Z</cp:lastPrinted>
  <dcterms:created xsi:type="dcterms:W3CDTF">2010-05-11T16:49:00Z</dcterms:created>
  <dcterms:modified xsi:type="dcterms:W3CDTF">2012-07-19T13:33:00Z</dcterms:modified>
</cp:coreProperties>
</file>